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</w:t>
      </w:r>
    </w:p>
    <w:p>
      <w:pPr>
        <w:pStyle w:val="Heading2"/>
      </w:pPr>
      <w:r>
        <w:t>Documento 5 - Motore Reddituale</w:t>
      </w:r>
    </w:p>
    <w:p>
      <w:pPr>
        <w:pStyle w:val="Heading2"/>
      </w:pPr>
      <w:r>
        <w:t>1. Obiettivo</w:t>
      </w:r>
    </w:p>
    <w:p>
      <w:r>
        <w:rPr>
          <w:sz w:val="22"/>
        </w:rPr>
        <w:t>Il Motore Reddituale trasforma i dati fiscali e reddituali dei richiedenti in un reddito indicativo utilizzabile dai motori decisionali. Il motore deve essere parametrico, così che ogni banca possa adottare formule differenti senza modificare il codice.</w:t>
      </w:r>
    </w:p>
    <w:p>
      <w:pPr>
        <w:pStyle w:val="Heading2"/>
      </w:pPr>
      <w:r>
        <w:t>2. Tipologie di soggetti</w:t>
      </w:r>
    </w:p>
    <w:p>
      <w:r>
        <w:rPr>
          <w:sz w:val="22"/>
        </w:rPr>
        <w:t>- Lavoratore dipendente</w:t>
        <w:br/>
        <w:t>- Lavoratore autonomo in regime ordinario</w:t>
        <w:br/>
        <w:t>- Lavoratore autonomo in regime forfettario</w:t>
        <w:br/>
        <w:t>- Pensionato</w:t>
        <w:br/>
        <w:t>- Percettore di redditi misti</w:t>
        <w:br/>
        <w:t>- Coobbligati e garanti</w:t>
      </w:r>
    </w:p>
    <w:p>
      <w:pPr>
        <w:pStyle w:val="Heading2"/>
      </w:pPr>
      <w:r>
        <w:t>3. Input</w:t>
      </w:r>
    </w:p>
    <w:p>
      <w:r>
        <w:rPr>
          <w:sz w:val="22"/>
        </w:rPr>
        <w:t>Documentazione acquisita:</w:t>
        <w:br/>
        <w:t>- CU</w:t>
        <w:br/>
        <w:t>- Modello Redditi PF</w:t>
        <w:br/>
        <w:t>- Certificazioni pensionistiche</w:t>
        <w:br/>
        <w:t>- Contratti di lavoro</w:t>
        <w:br/>
        <w:t>- Altra documentazione reddituale</w:t>
      </w:r>
    </w:p>
    <w:p>
      <w:pPr>
        <w:pStyle w:val="Heading2"/>
      </w:pPr>
      <w:r>
        <w:t>4. Dati rilevanti</w:t>
      </w:r>
    </w:p>
    <w:p>
      <w:r>
        <w:rPr>
          <w:sz w:val="22"/>
        </w:rPr>
        <w:t>Dipendente:</w:t>
        <w:br/>
        <w:t>- tipo contratto</w:t>
        <w:br/>
        <w:t>- anzianità</w:t>
        <w:br/>
        <w:t>- reddito lordo</w:t>
        <w:br/>
        <w:t>- netto</w:t>
        <w:br/>
        <w:t>- mensilità</w:t>
        <w:br/>
        <w:br/>
        <w:t>Autonomo:</w:t>
        <w:br/>
        <w:t>- regime fiscale</w:t>
        <w:br/>
        <w:t>- anzianità partita IVA</w:t>
        <w:br/>
        <w:t>- RN4</w:t>
        <w:br/>
        <w:t>- RN26</w:t>
        <w:br/>
        <w:t>- ulteriori quadri configurabili</w:t>
        <w:br/>
        <w:br/>
        <w:t>Forfettario:</w:t>
        <w:br/>
        <w:t>- ricavi</w:t>
        <w:br/>
        <w:t>- coefficiente di redditività</w:t>
        <w:br/>
        <w:t>- imposta sostitutiva</w:t>
        <w:br/>
        <w:t>- anzianità</w:t>
        <w:br/>
        <w:br/>
        <w:t>Pensionato:</w:t>
        <w:br/>
        <w:t>- tipo pensione</w:t>
        <w:br/>
        <w:t>- ente erogatore</w:t>
        <w:br/>
        <w:t>- importo netto mensile</w:t>
      </w:r>
    </w:p>
    <w:p>
      <w:pPr>
        <w:pStyle w:val="Heading2"/>
      </w:pPr>
      <w:r>
        <w:t>5. Calcolo</w:t>
      </w:r>
    </w:p>
    <w:p>
      <w:r>
        <w:rPr>
          <w:sz w:val="22"/>
        </w:rPr>
        <w:t>Ogni banca può definire:</w:t>
        <w:br/>
        <w:t>- formula di reddito indicativo</w:t>
        <w:br/>
        <w:t>- eventuali abbattimenti</w:t>
        <w:br/>
        <w:t>- redditi non considerati</w:t>
        <w:br/>
        <w:t>- percentuali di ponderazione</w:t>
        <w:br/>
        <w:t>- reddito minimo richiesto</w:t>
      </w:r>
    </w:p>
    <w:p>
      <w:pPr>
        <w:pStyle w:val="Heading2"/>
      </w:pPr>
      <w:r>
        <w:t>6. Parametri bancari</w:t>
      </w:r>
    </w:p>
    <w:p>
      <w:r>
        <w:rPr>
          <w:sz w:val="22"/>
        </w:rPr>
        <w:t>Configurabili:</w:t>
        <w:br/>
        <w:t>- DSR</w:t>
        <w:br/>
        <w:t>- MRI</w:t>
        <w:br/>
        <w:t>- soglia di sussistenza</w:t>
        <w:br/>
        <w:t>- reddito minimo</w:t>
        <w:br/>
        <w:t>- anzianità minima</w:t>
        <w:br/>
        <w:t>- tipologie di contratto accettate</w:t>
      </w:r>
    </w:p>
    <w:p>
      <w:pPr>
        <w:pStyle w:val="Heading2"/>
      </w:pPr>
      <w:r>
        <w:t>7. Redditi multipli</w:t>
      </w:r>
    </w:p>
    <w:p>
      <w:r>
        <w:rPr>
          <w:sz w:val="22"/>
        </w:rPr>
        <w:t>Il motore deve aggregare più redditi appartenenti allo stesso richiedente o a richiedenti differenti, applicando le regole della banca selezionata.</w:t>
      </w:r>
    </w:p>
    <w:p>
      <w:pPr>
        <w:pStyle w:val="Heading2"/>
      </w:pPr>
      <w:r>
        <w:t>8. Output</w:t>
      </w:r>
    </w:p>
    <w:p>
      <w:r>
        <w:rPr>
          <w:sz w:val="22"/>
        </w:rPr>
        <w:t>- Reddito indicativo</w:t>
        <w:br/>
        <w:t>- Reddito utilizzato</w:t>
        <w:br/>
        <w:t>- Motivazioni degli scarti</w:t>
        <w:br/>
        <w:t>- Avvisi</w:t>
        <w:br/>
        <w:t>- Indicatori per il Motore Strategico</w:t>
      </w:r>
    </w:p>
    <w:p>
      <w:pPr>
        <w:pStyle w:val="Heading2"/>
      </w:pPr>
      <w:r>
        <w:t>9. Principi</w:t>
      </w:r>
    </w:p>
    <w:p>
      <w:r>
        <w:rPr>
          <w:sz w:val="22"/>
        </w:rPr>
        <w:t>Nessuna formula è codificata nel software. Tutte le regole devono provenire da configurazioni e poter essere aggiornate senza rilasci applicativi.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