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6 - Motore Bancario</w:t>
      </w:r>
    </w:p>
    <w:p>
      <w:pPr>
        <w:pStyle w:val="Heading2"/>
      </w:pPr>
      <w:r>
        <w:t>1. Obiettivo</w:t>
      </w:r>
    </w:p>
    <w:p>
      <w:r>
        <w:rPr>
          <w:sz w:val="22"/>
        </w:rPr>
        <w:t>Il Motore Bancario interpreta le configurazioni di ciascun istituto di credito e determina quali prodotti siano effettivamente disponibili per la pratica analizzata. Non contiene regole hard-coded: utilizza esclusivamente dati configurabili.</w:t>
      </w:r>
    </w:p>
    <w:p>
      <w:pPr>
        <w:pStyle w:val="Heading2"/>
      </w:pPr>
      <w:r>
        <w:t>2. Responsabilità</w:t>
      </w:r>
    </w:p>
    <w:p>
      <w:r>
        <w:rPr>
          <w:sz w:val="22"/>
        </w:rPr>
        <w:t>- Caricare policy e listini della banca.</w:t>
        <w:br/>
        <w:t>- Verificare i requisiti del cliente.</w:t>
        <w:br/>
        <w:t>- Applicare le regole dei prodotti.</w:t>
        <w:br/>
        <w:t>- Applicare deroghe ed eccezioni.</w:t>
        <w:br/>
        <w:t>- Restituire i prodotti compatibili con le motivazioni.</w:t>
      </w:r>
    </w:p>
    <w:p>
      <w:pPr>
        <w:pStyle w:val="Heading2"/>
      </w:pPr>
      <w:r>
        <w:t>3. Fonti dati</w:t>
      </w:r>
    </w:p>
    <w:p>
      <w:r>
        <w:rPr>
          <w:sz w:val="22"/>
        </w:rPr>
        <w:t>Per ogni banca sono previste:</w:t>
        <w:br/>
        <w:t>• banca.json (anagrafica)</w:t>
        <w:br/>
        <w:t>• listino.json</w:t>
        <w:br/>
        <w:t>• policy.json</w:t>
        <w:br/>
        <w:t>• eventuali allegati documentali</w:t>
        <w:br/>
        <w:t>• storico delle versioni.</w:t>
      </w:r>
    </w:p>
    <w:p>
      <w:pPr>
        <w:pStyle w:val="Heading2"/>
      </w:pPr>
      <w:r>
        <w:t>4. Sequenza operativa</w:t>
      </w:r>
    </w:p>
    <w:p>
      <w:r>
        <w:rPr>
          <w:sz w:val="22"/>
        </w:rPr>
        <w:t>1. Ricezione della pratica dal Motore Strategico.</w:t>
        <w:br/>
        <w:t>2. Lettura della versione valida di listino e policy.</w:t>
        <w:br/>
        <w:t>3. Verifica requisiti generali.</w:t>
        <w:br/>
        <w:t>4. Verifica requisiti del prodotto.</w:t>
        <w:br/>
        <w:t>5. Calcolo delle condizioni economiche.</w:t>
        <w:br/>
        <w:t>6. Applicazione di riduzioni e maggiorazioni.</w:t>
        <w:br/>
        <w:t>7. Produzione dell'elenco dei prodotti compatibili.</w:t>
      </w:r>
    </w:p>
    <w:p>
      <w:pPr>
        <w:pStyle w:val="Heading2"/>
      </w:pPr>
      <w:r>
        <w:t>5. Gestione dei prodotti</w:t>
      </w:r>
    </w:p>
    <w:p>
      <w:r>
        <w:rPr>
          <w:sz w:val="22"/>
        </w:rPr>
        <w:t>Ogni prodotto deve essere descritto tramite configurazione:</w:t>
        <w:br/>
        <w:t>- finalità ammesse</w:t>
        <w:br/>
        <w:t>- durata</w:t>
        <w:br/>
        <w:t>- LTV</w:t>
        <w:br/>
        <w:t>- tasso</w:t>
        <w:br/>
        <w:t>- spread</w:t>
        <w:br/>
        <w:t>- costi</w:t>
        <w:br/>
        <w:t>- commissioni</w:t>
        <w:br/>
        <w:t>- note operative</w:t>
        <w:br/>
        <w:t>- documentazione richiesta.</w:t>
      </w:r>
    </w:p>
    <w:p>
      <w:pPr>
        <w:pStyle w:val="Heading2"/>
      </w:pPr>
      <w:r>
        <w:t>6. Gestione delle policy</w:t>
      </w:r>
    </w:p>
    <w:p>
      <w:r>
        <w:rPr>
          <w:sz w:val="22"/>
        </w:rPr>
        <w:t>Le policy definiscono:</w:t>
        <w:br/>
        <w:t>- età minima e massima</w:t>
        <w:br/>
        <w:t>- tipologie di reddito ammesse</w:t>
        <w:br/>
        <w:t>- anzianità lavorativa</w:t>
        <w:br/>
        <w:t>- immobili ammessi</w:t>
        <w:br/>
        <w:t>- soglie reddituali</w:t>
        <w:br/>
        <w:t>- requisiti documentali</w:t>
        <w:br/>
        <w:t>- deroghe.</w:t>
      </w:r>
    </w:p>
    <w:p>
      <w:pPr>
        <w:pStyle w:val="Heading2"/>
      </w:pPr>
      <w:r>
        <w:t>7. Gestione delle eccezioni</w:t>
      </w:r>
    </w:p>
    <w:p>
      <w:r>
        <w:rPr>
          <w:sz w:val="22"/>
        </w:rPr>
        <w:t>Il motore distingue:</w:t>
        <w:br/>
        <w:t>- esclusione definitiva;</w:t>
        <w:br/>
        <w:t>- eccezione gestibile;</w:t>
        <w:br/>
        <w:t>- richiesta di approfondimento.</w:t>
        <w:br/>
        <w:t>Ogni esito deve essere motivato e tracciato.</w:t>
      </w:r>
    </w:p>
    <w:p>
      <w:pPr>
        <w:pStyle w:val="Heading2"/>
      </w:pPr>
      <w:r>
        <w:t>8. Versionamento</w:t>
      </w:r>
    </w:p>
    <w:p>
      <w:r>
        <w:rPr>
          <w:sz w:val="22"/>
        </w:rPr>
        <w:t>Ogni listino e ogni policy devono riportare:</w:t>
        <w:br/>
        <w:t>- codice versione;</w:t>
        <w:br/>
        <w:t>- data di decorrenza;</w:t>
        <w:br/>
        <w:t>- data di fine validità;</w:t>
        <w:br/>
        <w:t>- storico modifiche.</w:t>
        <w:br/>
        <w:t>Una pratica deve essere sempre ricalcolabile con la versione originaria.</w:t>
      </w:r>
    </w:p>
    <w:p>
      <w:pPr>
        <w:pStyle w:val="Heading2"/>
      </w:pPr>
      <w:r>
        <w:t>9. Output</w:t>
      </w:r>
    </w:p>
    <w:p>
      <w:r>
        <w:rPr>
          <w:sz w:val="22"/>
        </w:rPr>
        <w:t>Per ogni banca:</w:t>
        <w:br/>
        <w:t>- esito;</w:t>
        <w:br/>
        <w:t>- prodotti disponibili;</w:t>
        <w:br/>
        <w:t>- motivazioni;</w:t>
        <w:br/>
        <w:t>- condizioni economiche;</w:t>
        <w:br/>
        <w:t>- avvisi;</w:t>
        <w:br/>
        <w:t>- riferimenti alla versione di listino e policy utilizzata.</w:t>
      </w:r>
    </w:p>
    <w:p>
      <w:pPr>
        <w:pStyle w:val="Heading2"/>
      </w:pPr>
      <w:r>
        <w:t>10. Principi di progettazione</w:t>
      </w:r>
    </w:p>
    <w:p>
      <w:r>
        <w:rPr>
          <w:sz w:val="22"/>
        </w:rPr>
        <w:t>Il motore deve poter gestire nuove banche semplicemente aggiungendo nuovi file di configurazione conformi allo standard BrokerFlow, senza modifiche al codice applicativo.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