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7 - Parser PDF</w:t>
      </w:r>
    </w:p>
    <w:p>
      <w:pPr>
        <w:pStyle w:val="Heading2"/>
      </w:pPr>
      <w:r>
        <w:t>1. Obiettivo</w:t>
      </w:r>
    </w:p>
    <w:p>
      <w:r>
        <w:rPr>
          <w:sz w:val="22"/>
        </w:rPr>
        <w:t>Il Parser PDF trasforma listini e policy pubblicati dalle banche in dati strutturati utilizzabili da BrokerFlow. Il parser non prende decisioni ma interpreta la struttura dei documenti e genera file JSON conformi allo standard interno.</w:t>
      </w:r>
    </w:p>
    <w:p>
      <w:pPr>
        <w:pStyle w:val="Heading2"/>
      </w:pPr>
      <w:r>
        <w:t>2. Principi di progettazione</w:t>
      </w:r>
    </w:p>
    <w:p>
      <w:r>
        <w:rPr>
          <w:sz w:val="22"/>
        </w:rPr>
        <w:t>- Separazione tra estrazione e interpretazione.</w:t>
        <w:br/>
        <w:t>- Nessuna regola bancaria nel parser.</w:t>
        <w:br/>
        <w:t>- Gestione configurabile delle eccezioni.</w:t>
        <w:br/>
        <w:t>- Output deterministico.</w:t>
        <w:br/>
        <w:t>- Tracciabilità completa dell'origine dei dati.</w:t>
      </w:r>
    </w:p>
    <w:p>
      <w:pPr>
        <w:pStyle w:val="Heading2"/>
      </w:pPr>
      <w:r>
        <w:t>3. Pipeline</w:t>
      </w:r>
    </w:p>
    <w:p>
      <w:r>
        <w:rPr>
          <w:sz w:val="22"/>
        </w:rPr>
        <w:t>1. Acquisizione PDF.</w:t>
        <w:br/>
        <w:t>2. Estrazione di testo e tabelle.</w:t>
        <w:br/>
        <w:t>3. Individuazione delle aree significative.</w:t>
        <w:br/>
        <w:t>4. Normalizzazione dei dati.</w:t>
        <w:br/>
        <w:t>5. Gestione delle celle unite.</w:t>
        <w:br/>
        <w:t>6. Validazione.</w:t>
        <w:br/>
        <w:t>7. Produzione del JSON.</w:t>
        <w:br/>
        <w:t>8. Controlli di coerenza.</w:t>
        <w:br/>
        <w:t>9. Salvataggio della versione.</w:t>
      </w:r>
    </w:p>
    <w:p>
      <w:pPr>
        <w:pStyle w:val="Heading2"/>
      </w:pPr>
      <w:r>
        <w:t>4. Gestione delle tabelle</w:t>
      </w:r>
    </w:p>
    <w:p>
      <w:r>
        <w:rPr>
          <w:sz w:val="22"/>
        </w:rPr>
        <w:t>Il parser deve riconoscere automaticamente:</w:t>
        <w:br/>
        <w:t>- intestazioni;</w:t>
        <w:br/>
        <w:t>- sotto-intestazioni;</w:t>
        <w:br/>
        <w:t>- colonne;</w:t>
        <w:br/>
        <w:t>- righe;</w:t>
        <w:br/>
        <w:t>- celle vuote;</w:t>
        <w:br/>
        <w:t>- celle unite;</w:t>
        <w:br/>
        <w:t>- note a piè pagina.</w:t>
        <w:br/>
        <w:br/>
        <w:t>Ogni tabella viene convertita in una struttura intermedia prima della trasformazione in JSON.</w:t>
      </w:r>
    </w:p>
    <w:p>
      <w:pPr>
        <w:pStyle w:val="Heading2"/>
      </w:pPr>
      <w:r>
        <w:t>5. Celle unite</w:t>
      </w:r>
    </w:p>
    <w:p>
      <w:r>
        <w:rPr>
          <w:sz w:val="22"/>
        </w:rPr>
        <w:t>Decisione progettuale:</w:t>
        <w:br/>
        <w:t>quando una cella unita rappresenta un valore valido per tutte le righe sottostanti (es. LTV, durata, finalità, note), il valore deve essere propagato automaticamente a tutte le righe interessate prima della conversione in JSON.</w:t>
      </w:r>
    </w:p>
    <w:p>
      <w:pPr>
        <w:pStyle w:val="Heading2"/>
      </w:pPr>
      <w:r>
        <w:t>6. Normalizzazione</w:t>
      </w:r>
    </w:p>
    <w:p>
      <w:r>
        <w:rPr>
          <w:sz w:val="22"/>
        </w:rPr>
        <w:t>Il parser uniforma:</w:t>
        <w:br/>
        <w:t>- percentuali;</w:t>
        <w:br/>
        <w:t>- importi;</w:t>
        <w:br/>
        <w:t>- durate;</w:t>
        <w:br/>
        <w:t>- descrizioni prodotto;</w:t>
        <w:br/>
        <w:t>- codici banca;</w:t>
        <w:br/>
        <w:t>- formati data;</w:t>
        <w:br/>
        <w:t>- nomenclature.</w:t>
        <w:br/>
        <w:br/>
        <w:t>L'obiettivo è avere uno schema identico per tutte le banche.</w:t>
      </w:r>
    </w:p>
    <w:p>
      <w:pPr>
        <w:pStyle w:val="Heading2"/>
      </w:pPr>
      <w:r>
        <w:t>7. Validazione</w:t>
      </w:r>
    </w:p>
    <w:p>
      <w:r>
        <w:rPr>
          <w:sz w:val="22"/>
        </w:rPr>
        <w:t>Prima della generazione finale il sistema verifica:</w:t>
        <w:br/>
        <w:t>- assenza di campi obbligatori mancanti;</w:t>
        <w:br/>
        <w:t>- coerenza delle durate;</w:t>
        <w:br/>
        <w:t>- correttezza dei valori numerici;</w:t>
        <w:br/>
        <w:t>- presenza delle versioni;</w:t>
        <w:br/>
        <w:t>- corrispondenza tra prodotti e griglie tassi.</w:t>
      </w:r>
    </w:p>
    <w:p>
      <w:pPr>
        <w:pStyle w:val="Heading2"/>
      </w:pPr>
      <w:r>
        <w:t>8. Output</w:t>
      </w:r>
    </w:p>
    <w:p>
      <w:r>
        <w:rPr>
          <w:sz w:val="22"/>
        </w:rPr>
        <w:t>Per ogni banca vengono prodotti almeno:</w:t>
        <w:br/>
        <w:t>- &lt;banca&gt;_listino.json</w:t>
        <w:br/>
        <w:t>- &lt;banca&gt;_policy.json</w:t>
        <w:br/>
        <w:br/>
        <w:t>Entrambi devono essere indipendenti dal PDF originale e utilizzabili direttamente dai motori di BrokerFlow.</w:t>
      </w:r>
    </w:p>
    <w:p>
      <w:pPr>
        <w:pStyle w:val="Heading2"/>
      </w:pPr>
      <w:r>
        <w:t>9. Gestione degli errori</w:t>
      </w:r>
    </w:p>
    <w:p>
      <w:r>
        <w:rPr>
          <w:sz w:val="22"/>
        </w:rPr>
        <w:t>Gli errori devono essere classificati come:</w:t>
        <w:br/>
        <w:t>- bloccanti;</w:t>
        <w:br/>
        <w:t>- avvisi;</w:t>
        <w:br/>
        <w:t>- informazioni.</w:t>
        <w:br/>
        <w:t>Ogni anomalia deve essere registrata con riferimento alla pagina e alla tabella di origine.</w:t>
      </w:r>
    </w:p>
    <w:p>
      <w:pPr>
        <w:pStyle w:val="Heading2"/>
      </w:pPr>
      <w:r>
        <w:t>10. Evoluzione</w:t>
      </w:r>
    </w:p>
    <w:p>
      <w:r>
        <w:rPr>
          <w:sz w:val="22"/>
        </w:rPr>
        <w:t>Il parser dovrà poter supportare in futuro:</w:t>
        <w:br/>
        <w:t>- OCR per PDF scansionati;</w:t>
        <w:br/>
        <w:t>- riconoscimento automatico di nuovi layout;</w:t>
        <w:br/>
        <w:t>- importazione massiva;</w:t>
        <w:br/>
        <w:t>- confronto tra versioni successive dei listini;</w:t>
        <w:br/>
        <w:t>- suggerimento delle modifiche introdotte dalle banche.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