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8 - Standard JSON BrokerFlow</w:t>
      </w:r>
    </w:p>
    <w:p>
      <w:pPr>
        <w:pStyle w:val="Heading2"/>
      </w:pPr>
      <w:r>
        <w:t>1. Obiettivo</w:t>
      </w:r>
    </w:p>
    <w:p>
      <w:r>
        <w:rPr>
          <w:sz w:val="22"/>
        </w:rPr>
        <w:t>Definire un formato JSON unico per tutte le banche, indipendente dal layout dei PDF e utilizzabile da tutti i motori di BrokerFlow.</w:t>
      </w:r>
    </w:p>
    <w:p>
      <w:pPr>
        <w:pStyle w:val="Heading2"/>
      </w:pPr>
      <w:r>
        <w:t>2. Principi</w:t>
      </w:r>
    </w:p>
    <w:p>
      <w:r>
        <w:rPr>
          <w:sz w:val="22"/>
        </w:rPr>
        <w:t>- Uno schema comune per ogni banca.</w:t>
        <w:br/>
        <w:t>- Separazione tra listino e policy.</w:t>
        <w:br/>
        <w:t>- Versionamento obbligatorio.</w:t>
        <w:br/>
        <w:t>- Nessuna informazione duplicata.</w:t>
        <w:br/>
        <w:t>- Estendibilità senza modifiche al codice.</w:t>
      </w:r>
    </w:p>
    <w:p>
      <w:pPr>
        <w:pStyle w:val="Heading2"/>
      </w:pPr>
      <w:r>
        <w:t>3. File previsti</w:t>
      </w:r>
    </w:p>
    <w:p>
      <w:r>
        <w:rPr>
          <w:sz w:val="22"/>
        </w:rPr>
        <w:t>Per ogni banca:</w:t>
        <w:br/>
        <w:t>- banca.json (anagrafica)</w:t>
        <w:br/>
        <w:t>- &lt;banca&gt;_listino.json</w:t>
        <w:br/>
        <w:t>- &lt;banca&gt;_policy.json</w:t>
        <w:br/>
        <w:t>- eventuali file accessori futuri.</w:t>
      </w:r>
    </w:p>
    <w:p>
      <w:pPr>
        <w:pStyle w:val="Heading2"/>
      </w:pPr>
      <w:r>
        <w:t>4. Struttura del listino</w:t>
      </w:r>
    </w:p>
    <w:p>
      <w:r>
        <w:rPr>
          <w:sz w:val="22"/>
        </w:rPr>
        <w:t>Metadati:</w:t>
        <w:br/>
        <w:t>- banca</w:t>
        <w:br/>
        <w:t>- versione</w:t>
        <w:br/>
        <w:t>- decorrenza</w:t>
        <w:br/>
        <w:t>- validità</w:t>
        <w:br/>
        <w:br/>
        <w:t>Prodotti:</w:t>
        <w:br/>
        <w:t>- codice</w:t>
        <w:br/>
        <w:t>- nome</w:t>
        <w:br/>
        <w:t>- finalità</w:t>
        <w:br/>
        <w:t>- categorie</w:t>
        <w:br/>
        <w:br/>
        <w:t>Per ogni prodotto:</w:t>
        <w:br/>
        <w:t>- griglie tassi</w:t>
        <w:br/>
        <w:t>- spread</w:t>
        <w:br/>
        <w:t>- riduzioni</w:t>
        <w:br/>
        <w:t>- maggiorazioni</w:t>
        <w:br/>
        <w:t>- costi</w:t>
        <w:br/>
        <w:t>- condizioni</w:t>
        <w:br/>
        <w:t>- note operative.</w:t>
      </w:r>
    </w:p>
    <w:p>
      <w:pPr>
        <w:pStyle w:val="Heading2"/>
      </w:pPr>
      <w:r>
        <w:t>5. Struttura della policy</w:t>
      </w:r>
    </w:p>
    <w:p>
      <w:r>
        <w:rPr>
          <w:sz w:val="22"/>
        </w:rPr>
        <w:t>Requisiti:</w:t>
        <w:br/>
        <w:t>- età</w:t>
        <w:br/>
        <w:t>- reddito</w:t>
        <w:br/>
        <w:t>- anzianità lavorativa</w:t>
        <w:br/>
        <w:t>- tipologie di contratto</w:t>
        <w:br/>
        <w:t>- immobili ammessi</w:t>
        <w:br/>
        <w:t>- limiti LTV</w:t>
        <w:br/>
        <w:t>- documentazione</w:t>
        <w:br/>
        <w:br/>
        <w:t>Eccezioni:</w:t>
        <w:br/>
        <w:t>- deroghe</w:t>
        <w:br/>
        <w:t>- esclusioni</w:t>
        <w:br/>
        <w:t>- casi particolari.</w:t>
      </w:r>
    </w:p>
    <w:p>
      <w:pPr>
        <w:pStyle w:val="Heading2"/>
      </w:pPr>
      <w:r>
        <w:t>6. Convenzioni</w:t>
      </w:r>
    </w:p>
    <w:p>
      <w:r>
        <w:rPr>
          <w:sz w:val="22"/>
        </w:rPr>
        <w:t>Codici prodotto univoci.</w:t>
        <w:br/>
        <w:t>Date ISO-8601.</w:t>
        <w:br/>
        <w:t>Valori numerici normalizzati.</w:t>
        <w:br/>
        <w:t>Percentuali espresse come numeri decimali configurabili.</w:t>
        <w:br/>
        <w:t>Nessun testo libero quando sostituibile con codifiche.</w:t>
      </w:r>
    </w:p>
    <w:p>
      <w:pPr>
        <w:pStyle w:val="Heading2"/>
      </w:pPr>
      <w:r>
        <w:t>7. Versionamento</w:t>
      </w:r>
    </w:p>
    <w:p>
      <w:r>
        <w:rPr>
          <w:sz w:val="22"/>
        </w:rPr>
        <w:t>Ogni file deve contenere:</w:t>
        <w:br/>
        <w:t>- versione</w:t>
        <w:br/>
        <w:t>- data creazione</w:t>
        <w:br/>
        <w:t>- data decorrenza</w:t>
        <w:br/>
        <w:t>- data fine validità</w:t>
        <w:br/>
        <w:t>- origine del documento</w:t>
        <w:br/>
        <w:t>- hash opzionale del PDF sorgente.</w:t>
      </w:r>
    </w:p>
    <w:p>
      <w:pPr>
        <w:pStyle w:val="Heading2"/>
      </w:pPr>
      <w:r>
        <w:t>8. Utilizzo</w:t>
      </w:r>
    </w:p>
    <w:p>
      <w:r>
        <w:rPr>
          <w:sz w:val="22"/>
        </w:rPr>
        <w:t>Il Motore Bancario legge listino e policy.</w:t>
        <w:br/>
        <w:t>Il Parser produce i JSON.</w:t>
        <w:br/>
        <w:t>Il Frontend non interpreta direttamente i PDF ma utilizza esclusivamente i JSON.</w:t>
      </w:r>
    </w:p>
    <w:p>
      <w:pPr>
        <w:pStyle w:val="Heading2"/>
      </w:pPr>
      <w:r>
        <w:t>9. Evoluzione</w:t>
      </w:r>
    </w:p>
    <w:p>
      <w:r>
        <w:rPr>
          <w:sz w:val="22"/>
        </w:rPr>
        <w:t>Lo schema dovrà supportare nuovi prodotti, nuovi campi e nuove banche mantenendo la retrocompatibilità delle versioni precedenti.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