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10 - Manuale dello Sviluppatore</w:t>
      </w:r>
    </w:p>
    <w:p>
      <w:pPr>
        <w:pStyle w:val="Heading2"/>
      </w:pPr>
      <w:r>
        <w:t>1. Scopo</w:t>
      </w:r>
    </w:p>
    <w:p>
      <w:r>
        <w:rPr>
          <w:sz w:val="22"/>
        </w:rPr>
        <w:t>Questo documento definisce le linee guida tecniche per lo sviluppo di BrokerFlow, con l'obiettivo di mantenere un'architettura coerente, estensibile e facilmente manutenibile nel tempo.</w:t>
      </w:r>
    </w:p>
    <w:p>
      <w:pPr>
        <w:pStyle w:val="Heading2"/>
      </w:pPr>
      <w:r>
        <w:t>2. Principi architetturali</w:t>
      </w:r>
    </w:p>
    <w:p>
      <w:r>
        <w:rPr>
          <w:sz w:val="22"/>
        </w:rPr>
        <w:t>- Separazione tra frontend, backend e database.</w:t>
        <w:br/>
        <w:t>- Logica di business isolata dai componenti grafici.</w:t>
        <w:br/>
        <w:t>- Configurazione esterna delle regole bancarie.</w:t>
        <w:br/>
        <w:t>- Modularità.</w:t>
        <w:br/>
        <w:t>- Riutilizzo del codice.</w:t>
        <w:br/>
        <w:t>- Basso accoppiamento tra i moduli.</w:t>
      </w:r>
    </w:p>
    <w:p>
      <w:pPr>
        <w:pStyle w:val="Heading2"/>
      </w:pPr>
      <w:r>
        <w:t>3. Convenzioni di sviluppo</w:t>
      </w:r>
    </w:p>
    <w:p>
      <w:r>
        <w:rPr>
          <w:sz w:val="22"/>
        </w:rPr>
        <w:t>- Naming coerente per file, classi e funzioni.</w:t>
        <w:br/>
        <w:t>- Commenti solo dove realmente utili.</w:t>
        <w:br/>
        <w:t>- Funzioni con una singola responsabilità.</w:t>
        <w:br/>
        <w:t>- Evitare duplicazione di codice.</w:t>
        <w:br/>
        <w:t>- Gestione centralizzata delle costanti.</w:t>
      </w:r>
    </w:p>
    <w:p>
      <w:pPr>
        <w:pStyle w:val="Heading2"/>
      </w:pPr>
      <w:r>
        <w:t>4. Struttura del progetto</w:t>
      </w:r>
    </w:p>
    <w:p>
      <w:r>
        <w:rPr>
          <w:sz w:val="22"/>
        </w:rPr>
        <w:t>Cartelle consigliate:</w:t>
        <w:br/>
        <w:t>- frontend/</w:t>
        <w:br/>
        <w:t>- backend/</w:t>
        <w:br/>
        <w:t>- database/</w:t>
        <w:br/>
        <w:t>- parser/</w:t>
        <w:br/>
        <w:t>- motori/</w:t>
        <w:br/>
        <w:t>- configurazioni/</w:t>
        <w:br/>
        <w:t>- test/</w:t>
        <w:br/>
        <w:t>- documentazione/</w:t>
        <w:br/>
        <w:t>- script/</w:t>
      </w:r>
    </w:p>
    <w:p>
      <w:pPr>
        <w:pStyle w:val="Heading2"/>
      </w:pPr>
      <w:r>
        <w:t>5. Configurazioni</w:t>
      </w:r>
    </w:p>
    <w:p>
      <w:r>
        <w:rPr>
          <w:sz w:val="22"/>
        </w:rPr>
        <w:t>Tutti i parametri modificabili (banche, prodotti, policy, soglie, formule e impostazioni) devono essere esterni al codice sorgente e caricati tramite file di configurazione versionati.</w:t>
      </w:r>
    </w:p>
    <w:p>
      <w:pPr>
        <w:pStyle w:val="Heading2"/>
      </w:pPr>
      <w:r>
        <w:t>6. Logging</w:t>
      </w:r>
    </w:p>
    <w:p>
      <w:r>
        <w:rPr>
          <w:sz w:val="22"/>
        </w:rPr>
        <w:t>Ogni componente deve produrre log strutturati con:</w:t>
        <w:br/>
        <w:t>- data e ora;</w:t>
        <w:br/>
        <w:t>- modulo;</w:t>
        <w:br/>
        <w:t>- livello (INFO, WARNING, ERROR);</w:t>
        <w:br/>
        <w:t>- identificativo della pratica;</w:t>
        <w:br/>
        <w:t>- descrizione dell'evento.</w:t>
        <w:br/>
        <w:t>I log devono facilitare diagnosi e audit.</w:t>
      </w:r>
    </w:p>
    <w:p>
      <w:pPr>
        <w:pStyle w:val="Heading2"/>
      </w:pPr>
      <w:r>
        <w:t>7. Testing</w:t>
      </w:r>
    </w:p>
    <w:p>
      <w:r>
        <w:rPr>
          <w:sz w:val="22"/>
        </w:rPr>
        <w:t>Prevedere:</w:t>
        <w:br/>
        <w:t>- test unitari;</w:t>
        <w:br/>
        <w:t>- test di integrazione;</w:t>
        <w:br/>
        <w:t>- test end-to-end;</w:t>
        <w:br/>
        <w:t>- test di regressione.</w:t>
        <w:br/>
        <w:t>Ogni nuova funzionalità deve essere accompagnata da test automatici.</w:t>
      </w:r>
    </w:p>
    <w:p>
      <w:pPr>
        <w:pStyle w:val="Heading2"/>
      </w:pPr>
      <w:r>
        <w:t>8. Gestione delle nuove banche</w:t>
      </w:r>
    </w:p>
    <w:p>
      <w:r>
        <w:rPr>
          <w:sz w:val="22"/>
        </w:rPr>
        <w:t>L'aggiunta di una banca deve richiedere esclusivamente:</w:t>
        <w:br/>
        <w:t>- inserimento dei file JSON;</w:t>
        <w:br/>
        <w:t>- eventuali mapping del parser;</w:t>
        <w:br/>
        <w:t>- configurazioni dedicate.</w:t>
        <w:br/>
        <w:t>Non devono essere necessarie modifiche alla logica applicativa.</w:t>
      </w:r>
    </w:p>
    <w:p>
      <w:pPr>
        <w:pStyle w:val="Heading2"/>
      </w:pPr>
      <w:r>
        <w:t>9. Versionamento</w:t>
      </w:r>
    </w:p>
    <w:p>
      <w:r>
        <w:rPr>
          <w:sz w:val="22"/>
        </w:rPr>
        <w:t>Utilizzare Git con:</w:t>
        <w:br/>
        <w:t>- branch dedicate alle funzionalità;</w:t>
        <w:br/>
        <w:t>- revisioni del codice;</w:t>
        <w:br/>
        <w:t>- changelog;</w:t>
        <w:br/>
        <w:t>- versioni applicative semantiche (Major.Minor.Patch).</w:t>
      </w:r>
    </w:p>
    <w:p>
      <w:pPr>
        <w:pStyle w:val="Heading2"/>
      </w:pPr>
      <w:r>
        <w:t>10. Evoluzione</w:t>
      </w:r>
    </w:p>
    <w:p>
      <w:r>
        <w:rPr>
          <w:sz w:val="22"/>
        </w:rPr>
        <w:t>Ogni nuovo modulo dovrà rispettare queste linee guida, mantenendo compatibilità con l'architettura esistente e privilegiando configurazioni rispetto a personalizzazioni nel codice.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