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128713" cy="1107281"/>
            <wp:effectExtent b="0" l="0" r="0" t="0"/>
            <wp:docPr descr="logo UNIPD bianconero.gif" id="1" name="image1.png"/>
            <a:graphic>
              <a:graphicData uri="http://schemas.openxmlformats.org/drawingml/2006/picture">
                <pic:pic>
                  <pic:nvPicPr>
                    <pic:cNvPr descr="logo UNIPD bianconero.gif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1107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Università degli Studi di Padova -Dipartimento di Ingegneria Informatica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Esame di Reti di Calcolatori - 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giugno 2018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Prof. ing. Nicola Zingirian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 server cloud è configurato in modo tale da non accettare connessioni TCP  </w:t>
      </w:r>
      <w:r w:rsidDel="00000000" w:rsidR="00000000" w:rsidRPr="00000000">
        <w:rPr>
          <w:sz w:val="20"/>
          <w:szCs w:val="20"/>
          <w:rtl w:val="0"/>
        </w:rPr>
        <w:t xml:space="preserve">dai port 20000 a 30000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Nel momento in cui un client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cerca di effettuare una connessione al server cloud su un</w:t>
      </w:r>
      <w:r w:rsidDel="00000000" w:rsidR="00000000" w:rsidRPr="00000000">
        <w:rPr>
          <w:sz w:val="20"/>
          <w:szCs w:val="20"/>
          <w:rtl w:val="0"/>
        </w:rPr>
        <w:t xml:space="preserve">o di quei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port (es. Telnet 88.80.187</w:t>
      </w:r>
      <w:r w:rsidDel="00000000" w:rsidR="00000000" w:rsidRPr="00000000">
        <w:rPr>
          <w:sz w:val="20"/>
          <w:szCs w:val="20"/>
          <w:rtl w:val="0"/>
        </w:rPr>
        <w:t xml:space="preserve">.84 21000)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non ottiene alcuna risposta e quindi la richiesta di connessione rimane senza risposta.</w:t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modifichi il programma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sviluppato a l</w:t>
      </w:r>
      <w:r w:rsidDel="00000000" w:rsidR="00000000" w:rsidRPr="00000000">
        <w:rPr>
          <w:sz w:val="20"/>
          <w:szCs w:val="20"/>
          <w:rtl w:val="0"/>
        </w:rPr>
        <w:t xml:space="preserve">ezione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 modo tale che supporti la risposta ICMP (RFC 792) che avverte che il port TCP richiesto non è raggiungibile.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720" w:left="1080" w:right="90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