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it-IT"/>
        </w:rPr>
      </w:pPr>
      <w:r>
        <w:rPr>
          <w:lang w:val="it-IT"/>
        </w:rPr>
        <w:t>ANALISI POLITICHE DI PRIVACY</w:t>
      </w:r>
    </w:p>
    <w:p>
      <w:pPr>
        <w:pStyle w:val="Normal"/>
        <w:spacing w:lineRule="auto" w:line="264" w:before="0" w:after="120"/>
        <w:rPr>
          <w:rFonts w:ascii="Calibri" w:hAnsi="Calibri" w:eastAsia="Calibri" w:cs="Calibri"/>
          <w:color w:themeColor="text1" w:val="000000"/>
          <w:sz w:val="21"/>
          <w:szCs w:val="21"/>
          <w:lang w:val="it-IT"/>
        </w:rPr>
      </w:pPr>
      <w:r>
        <w:rPr>
          <w:rFonts w:eastAsia="Calibri" w:cs="Calibri"/>
          <w:color w:themeColor="text1" w:val="000000"/>
          <w:sz w:val="21"/>
          <w:szCs w:val="21"/>
          <w:lang w:val="it-IT"/>
        </w:rPr>
      </w:r>
    </w:p>
    <w:p>
      <w:pPr>
        <w:pStyle w:val="Normal"/>
        <w:spacing w:lineRule="auto" w:line="264" w:before="0" w:after="120"/>
        <w:rPr>
          <w:rFonts w:ascii="Calibri" w:hAnsi="Calibri" w:eastAsia="Calibri" w:cs="Calibri"/>
          <w:color w:themeColor="text1" w:val="000000"/>
          <w:sz w:val="21"/>
          <w:szCs w:val="21"/>
          <w:lang w:val="it-IT"/>
        </w:rPr>
      </w:pPr>
      <w:r>
        <w:rPr>
          <w:rFonts w:eastAsia="Calibri" w:cs="Calibri"/>
          <w:color w:themeColor="text1" w:val="000000"/>
          <w:sz w:val="21"/>
          <w:szCs w:val="21"/>
          <w:lang w:val="it-IT"/>
        </w:rPr>
      </w:r>
    </w:p>
    <w:p>
      <w:pPr>
        <w:pStyle w:val="Normal"/>
        <w:suppressLineNumbers w:val="0"/>
        <w:bidi w:val="0"/>
        <w:spacing w:lineRule="auto" w:line="264" w:beforeAutospacing="0" w:before="0" w:afterAutospacing="0" w:after="120"/>
        <w:ind w:left="0" w:right="0"/>
        <w:jc w:val="center"/>
        <w:rPr/>
      </w:pPr>
      <w:r>
        <w:rPr>
          <w:rFonts w:eastAsia="Calibri" w:cs="Calibri"/>
          <w:i/>
          <w:iCs/>
          <w:color w:themeColor="text1" w:val="000000"/>
          <w:sz w:val="21"/>
          <w:szCs w:val="21"/>
          <w:lang w:val="it-IT"/>
        </w:rPr>
        <w:t>Alessandro Marconcini</w:t>
      </w:r>
    </w:p>
    <w:p>
      <w:pPr>
        <w:pStyle w:val="Normal"/>
        <w:suppressLineNumbers w:val="0"/>
        <w:bidi w:val="0"/>
        <w:spacing w:lineRule="auto" w:line="264" w:beforeAutospacing="0" w:before="0" w:afterAutospacing="0" w:after="120"/>
        <w:ind w:left="0" w:right="0"/>
        <w:jc w:val="center"/>
        <w:rPr/>
      </w:pPr>
      <w:r>
        <w:rPr>
          <w:rFonts w:eastAsia="Calibri" w:cs="Calibri"/>
          <w:i/>
          <w:iCs/>
          <w:color w:themeColor="text1" w:val="000000"/>
          <w:sz w:val="21"/>
          <w:szCs w:val="21"/>
          <w:lang w:val="it-IT"/>
        </w:rPr>
        <w:t>VR489524</w:t>
      </w:r>
    </w:p>
    <w:p>
      <w:pPr>
        <w:pStyle w:val="Normal"/>
        <w:spacing w:lineRule="auto" w:line="264" w:before="0" w:after="120"/>
        <w:ind w:hanging="0" w:left="2880"/>
        <w:rPr>
          <w:rFonts w:ascii="Calibri" w:hAnsi="Calibri" w:eastAsia="Calibri" w:cs="Calibri"/>
          <w:i/>
          <w:i/>
          <w:iCs/>
          <w:color w:themeColor="text1" w:val="000000"/>
          <w:sz w:val="21"/>
          <w:szCs w:val="21"/>
          <w:lang w:val="it-IT"/>
        </w:rPr>
      </w:pPr>
      <w:r>
        <w:rPr>
          <w:rFonts w:eastAsia="Calibri" w:cs="Calibri"/>
          <w:i/>
          <w:iCs/>
          <w:color w:themeColor="text1" w:val="000000"/>
          <w:sz w:val="21"/>
          <w:szCs w:val="21"/>
          <w:lang w:val="it-IT"/>
        </w:rPr>
        <w:t xml:space="preserve">   </w:t>
      </w:r>
      <w:r>
        <w:rPr>
          <w:rFonts w:eastAsia="Calibri" w:cs="Calibri"/>
          <w:i/>
          <w:iCs/>
          <w:color w:themeColor="text1" w:val="000000"/>
          <w:sz w:val="21"/>
          <w:szCs w:val="21"/>
          <w:lang w:val="it-IT"/>
        </w:rPr>
        <w:t>alessandro.marconcini_03@studenti.univr.it</w:t>
      </w:r>
    </w:p>
    <w:p>
      <w:pPr>
        <w:pStyle w:val="Normal"/>
        <w:spacing w:lineRule="auto" w:line="264" w:before="0" w:after="120"/>
        <w:rPr>
          <w:rFonts w:ascii="Calibri" w:hAnsi="Calibri" w:eastAsia="Calibri" w:cs="Calibri"/>
          <w:color w:themeColor="text1" w:val="000000"/>
          <w:sz w:val="21"/>
          <w:szCs w:val="21"/>
          <w:lang w:val="it-IT"/>
        </w:rPr>
      </w:pPr>
      <w:r>
        <w:rPr>
          <w:rFonts w:eastAsia="Calibri" w:cs="Calibri"/>
          <w:color w:themeColor="text1" w:val="000000"/>
          <w:sz w:val="21"/>
          <w:szCs w:val="21"/>
          <w:lang w:val="it-IT"/>
        </w:rPr>
      </w:r>
    </w:p>
    <w:p>
      <w:pPr>
        <w:pStyle w:val="Heading1"/>
        <w:spacing w:lineRule="auto" w:line="240" w:before="400" w:after="40"/>
        <w:rPr>
          <w:lang w:val="it-IT"/>
        </w:rPr>
      </w:pPr>
      <w:r>
        <w:rPr>
          <w:lang w:val="it-IT"/>
        </w:rPr>
        <w:t>CONTENUTO DELLE POLITICHE DI PRIVACY</w:t>
      </w:r>
    </w:p>
    <w:p>
      <w:pPr>
        <w:pStyle w:val="Normal"/>
        <w:spacing w:lineRule="auto" w:line="240" w:before="400" w:after="40"/>
        <w:rPr>
          <w:lang w:val="it-IT"/>
        </w:rPr>
      </w:pPr>
      <w:r>
        <w:rPr>
          <w:lang w:val="it-IT"/>
        </w:rPr>
      </w:r>
    </w:p>
    <w:tbl>
      <w:tblPr>
        <w:tblStyle w:val="TableGrid"/>
        <w:tblW w:w="595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1274"/>
      </w:tblGrid>
      <w:tr>
        <w:trPr>
          <w:trHeight w:val="300" w:hRule="atLeast"/>
        </w:trPr>
        <w:tc>
          <w:tcPr>
            <w:tcW w:w="4680"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Domande</w:t>
            </w:r>
          </w:p>
        </w:tc>
        <w:tc>
          <w:tcPr>
            <w:tcW w:w="1274"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 siti non conformi</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La politica specifica l'identità e i dati di contatto del Titolare del Trattamento?</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26.6</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La politica specifica i dati di contatto del Responsabile per la Protezione dei Dati?</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0</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La politica specifica le finalità del trattamento?</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6.66</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specifica le basi giuridiche del trattamento dei dati?</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33.3</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Se il ``Legittimo Interesse'' è la base giuridica per il trattamento, la politica specifica quali sono i legittimi interessi perseguiti dal Titolare?</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11.1</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elenca i possibili destinatari o le possibili categorie di destinatati delle informazioni?</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3.33</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indica il periodo di conservazione dei dati personali o i criteri utilizzati per determinare tale periodo?</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16.6</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indica i diritti dei soggetti interessati ?</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6.66</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Se il "consenso" è la base giuridica, la politica specifica l'esistenza di revocare il consenso?</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3.7</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specifica il diritto di proporre reclamo a un'autorità di controllo?</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13.3</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indica che la comunicazione dei dati personali è un obbligo legale o contrattuale oppure un requisito necessario per la conclusione di un contratto e le conseguenze della mancata comunicazione dei dati?</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23.3</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La politica indica l'esistenza di un processo decisionale automatizzato compresa la profilazione?</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46.6</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Totale</w:t>
            </w:r>
          </w:p>
        </w:tc>
        <w:tc>
          <w:tcPr>
            <w:tcW w:w="127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66.6</w:t>
            </w:r>
          </w:p>
        </w:tc>
      </w:tr>
    </w:tbl>
    <w:p>
      <w:pPr>
        <w:pStyle w:val="Normal"/>
        <w:spacing w:lineRule="auto" w:line="240" w:before="400" w:after="40"/>
        <w:rPr>
          <w:lang w:val="it-IT"/>
        </w:rPr>
      </w:pPr>
      <w:r>
        <w:rPr>
          <w:lang w:val="it-IT"/>
        </w:rPr>
      </w:r>
    </w:p>
    <w:p>
      <w:pPr>
        <w:pStyle w:val="Heading1"/>
        <w:spacing w:lineRule="auto" w:line="240" w:before="400" w:after="40"/>
        <w:rPr>
          <w:lang w:val="it-IT"/>
        </w:rPr>
      </w:pPr>
      <w:r>
        <w:rPr>
          <w:lang w:val="it-IT"/>
        </w:rPr>
        <w:t>ACCESSIBILITA’ DELLA POLITICA</w:t>
      </w:r>
    </w:p>
    <w:p>
      <w:pPr>
        <w:pStyle w:val="Normal"/>
        <w:spacing w:lineRule="auto" w:line="240" w:before="400" w:after="40"/>
        <w:rPr>
          <w:lang w:val="it-IT"/>
        </w:rPr>
      </w:pPr>
      <w:r>
        <w:rPr>
          <w:lang w:val="it-IT"/>
        </w:rPr>
      </w:r>
    </w:p>
    <w:tbl>
      <w:tblPr>
        <w:tblStyle w:val="TableGrid"/>
        <w:tblW w:w="595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1274"/>
      </w:tblGrid>
      <w:tr>
        <w:trPr>
          <w:trHeight w:val="300" w:hRule="atLeast"/>
        </w:trPr>
        <w:tc>
          <w:tcPr>
            <w:tcW w:w="4680"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Domande</w:t>
            </w:r>
          </w:p>
        </w:tc>
        <w:tc>
          <w:tcPr>
            <w:tcW w:w="1274"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 siti non conformi</w:t>
            </w:r>
          </w:p>
        </w:tc>
      </w:tr>
      <w:tr>
        <w:trPr>
          <w:trHeight w:val="300" w:hRule="atLeast"/>
        </w:trPr>
        <w:tc>
          <w:tcPr>
            <w:tcW w:w="4680" w:type="dxa"/>
            <w:tcBorders>
              <w:top w:val="nil"/>
            </w:tcBorders>
          </w:tcPr>
          <w:p>
            <w:pPr>
              <w:pStyle w:val="TableContents"/>
              <w:suppressAutoHyphens w:val="true"/>
              <w:spacing w:before="0" w:after="160"/>
              <w:jc w:val="left"/>
              <w:rPr>
                <w:color w:val="000000"/>
              </w:rPr>
            </w:pPr>
            <w:r>
              <w:rPr>
                <w:color w:val="000000"/>
              </w:rPr>
              <w:t>E sempre presente un link alla Politica di Privacy ogni pagina del sito web?</w:t>
            </w:r>
          </w:p>
        </w:tc>
        <w:tc>
          <w:tcPr>
            <w:tcW w:w="1274" w:type="dxa"/>
            <w:tcBorders>
              <w:top w:val="nil"/>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10</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Il colore o il font usati rendono meno visibile il link alla Politica di Privacy?</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36.6</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Totale</w:t>
            </w:r>
          </w:p>
        </w:tc>
        <w:tc>
          <w:tcPr>
            <w:tcW w:w="127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40</w:t>
            </w:r>
          </w:p>
        </w:tc>
      </w:tr>
    </w:tbl>
    <w:p>
      <w:pPr>
        <w:pStyle w:val="Normal"/>
        <w:spacing w:lineRule="auto" w:line="240" w:before="400" w:after="40"/>
        <w:rPr>
          <w:lang w:val="it-IT"/>
        </w:rPr>
      </w:pPr>
      <w:r>
        <w:rPr>
          <w:lang w:val="it-IT"/>
        </w:rPr>
      </w:r>
    </w:p>
    <w:p>
      <w:pPr>
        <w:pStyle w:val="Heading1"/>
        <w:spacing w:lineRule="auto" w:line="240" w:before="400" w:after="40"/>
        <w:rPr>
          <w:lang w:val="it-IT"/>
        </w:rPr>
      </w:pPr>
      <w:r>
        <w:rPr>
          <w:lang w:val="it-IT"/>
        </w:rPr>
        <w:t>LINGUAGGIO DELLA POLITICA</w:t>
      </w:r>
    </w:p>
    <w:p>
      <w:pPr>
        <w:pStyle w:val="Normal"/>
        <w:keepNext w:val="true"/>
        <w:keepLines/>
        <w:rPr>
          <w:lang w:val="it-IT"/>
        </w:rPr>
      </w:pPr>
      <w:r>
        <w:rPr>
          <w:lang w:val="it-IT"/>
        </w:rPr>
      </w:r>
    </w:p>
    <w:tbl>
      <w:tblPr>
        <w:tblStyle w:val="TableGrid"/>
        <w:tblW w:w="595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1274"/>
      </w:tblGrid>
      <w:tr>
        <w:trPr>
          <w:trHeight w:val="300" w:hRule="atLeast"/>
        </w:trPr>
        <w:tc>
          <w:tcPr>
            <w:tcW w:w="4680"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Domande</w:t>
            </w:r>
          </w:p>
        </w:tc>
        <w:tc>
          <w:tcPr>
            <w:tcW w:w="1274"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 siti non conformi</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Calibri"/>
                <w:sz w:val="24"/>
                <w:szCs w:val="24"/>
                <w:lang w:val="it-IT"/>
              </w:rPr>
            </w:pPr>
            <w:r>
              <w:rPr>
                <w:rFonts w:eastAsia="Calibri" w:cs="Calibri"/>
                <w:kern w:val="0"/>
                <w:sz w:val="24"/>
                <w:szCs w:val="24"/>
                <w:lang w:val="it-IT" w:eastAsia="en-US" w:bidi="ar-SA"/>
              </w:rPr>
              <w:t>La politica contiene frasi complesse?</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40</w:t>
            </w:r>
          </w:p>
        </w:tc>
      </w:tr>
      <w:tr>
        <w:trPr>
          <w:trHeight w:val="300" w:hRule="atLeast"/>
        </w:trPr>
        <w:tc>
          <w:tcPr>
            <w:tcW w:w="4680" w:type="dxa"/>
            <w:tcBorders/>
          </w:tcPr>
          <w:p>
            <w:pPr>
              <w:pStyle w:val="Normal"/>
              <w:widowControl/>
              <w:suppressAutoHyphens w:val="true"/>
              <w:spacing w:lineRule="auto" w:line="240" w:before="0" w:after="0"/>
              <w:jc w:val="left"/>
              <w:rPr>
                <w:lang w:val="it-IT"/>
              </w:rPr>
            </w:pPr>
            <w:r>
              <w:rPr>
                <w:rFonts w:eastAsia="Calibri" w:cs="Calibri"/>
                <w:kern w:val="0"/>
                <w:sz w:val="24"/>
                <w:szCs w:val="24"/>
                <w:lang w:val="it-IT" w:eastAsia="en-US" w:bidi="ar-SA"/>
              </w:rPr>
              <w:t>Le frasi e i paragrafi sono ben strutturati?</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13.3</w:t>
            </w:r>
          </w:p>
        </w:tc>
      </w:tr>
      <w:tr>
        <w:trPr>
          <w:trHeight w:val="300" w:hRule="atLeast"/>
        </w:trPr>
        <w:tc>
          <w:tcPr>
            <w:tcW w:w="4680" w:type="dxa"/>
            <w:tcBorders/>
          </w:tcPr>
          <w:p>
            <w:pPr>
              <w:pStyle w:val="Normal"/>
              <w:widowControl/>
              <w:suppressAutoHyphens w:val="true"/>
              <w:spacing w:lineRule="auto" w:line="240" w:before="0" w:after="0"/>
              <w:jc w:val="left"/>
              <w:rPr>
                <w:lang w:val="it-IT"/>
              </w:rPr>
            </w:pPr>
            <w:r>
              <w:rPr>
                <w:rFonts w:eastAsia="Calibri" w:cs="Calibri"/>
                <w:kern w:val="0"/>
                <w:sz w:val="24"/>
                <w:szCs w:val="24"/>
                <w:lang w:val="it-IT" w:eastAsia="en-US" w:bidi="ar-SA"/>
              </w:rPr>
              <w:t xml:space="preserve"> </w:t>
            </w:r>
            <w:r>
              <w:rPr>
                <w:rFonts w:eastAsia="Calibri" w:cs="Calibri"/>
                <w:kern w:val="0"/>
                <w:sz w:val="24"/>
                <w:szCs w:val="24"/>
                <w:lang w:val="it-IT" w:eastAsia="en-US" w:bidi="ar-SA"/>
              </w:rPr>
              <w:t>Sono presenti elenchi puntati per strutturare i paragrafi?</w:t>
            </w:r>
          </w:p>
          <w:p>
            <w:pPr>
              <w:pStyle w:val="Normal"/>
              <w:widowControl/>
              <w:suppressAutoHyphens w:val="true"/>
              <w:spacing w:lineRule="auto" w:line="240" w:before="0" w:after="0"/>
              <w:jc w:val="left"/>
              <w:rPr>
                <w:lang w:val="it-IT"/>
              </w:rPr>
            </w:pPr>
            <w:r>
              <w:rPr>
                <w:lang w:val="it-IT"/>
              </w:rPr>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13.3</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Totale</w:t>
            </w:r>
          </w:p>
        </w:tc>
        <w:tc>
          <w:tcPr>
            <w:tcW w:w="127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50</w:t>
            </w:r>
          </w:p>
        </w:tc>
      </w:tr>
    </w:tbl>
    <w:p>
      <w:pPr>
        <w:pStyle w:val="Heading1"/>
        <w:spacing w:lineRule="auto" w:line="240" w:before="400" w:after="40"/>
        <w:rPr/>
      </w:pPr>
      <w:r>
        <w:rPr/>
        <w:t>LEGGIBILITA’ DELLA POLITICA</w:t>
      </w:r>
    </w:p>
    <w:p>
      <w:pPr>
        <w:pStyle w:val="Normal"/>
        <w:keepNext w:val="true"/>
        <w:keepLines/>
        <w:rPr/>
      </w:pPr>
      <w:r>
        <w:rPr/>
      </w:r>
    </w:p>
    <w:p>
      <w:pPr>
        <w:pStyle w:val="Normal"/>
        <w:keepNext w:val="true"/>
        <w:keepLines/>
        <w:rPr/>
      </w:pPr>
      <w:r>
        <w:rPr/>
      </w:r>
    </w:p>
    <w:tbl>
      <w:tblPr>
        <w:tblStyle w:val="TableGrid"/>
        <w:tblW w:w="595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1274"/>
      </w:tblGrid>
      <w:tr>
        <w:trPr>
          <w:trHeight w:val="300" w:hRule="atLeast"/>
        </w:trPr>
        <w:tc>
          <w:tcPr>
            <w:tcW w:w="4680" w:type="dxa"/>
            <w:tcBorders/>
          </w:tcPr>
          <w:p>
            <w:pPr>
              <w:pStyle w:val="Normal"/>
              <w:widowControl/>
              <w:suppressAutoHyphens w:val="true"/>
              <w:spacing w:lineRule="auto" w:line="259" w:before="0" w:after="0"/>
              <w:jc w:val="left"/>
              <w:rPr>
                <w:b/>
                <w:bCs/>
              </w:rPr>
            </w:pPr>
            <w:r>
              <w:rPr>
                <w:rFonts w:eastAsia="Calibri" w:cs=""/>
                <w:b/>
                <w:bCs/>
                <w:kern w:val="0"/>
                <w:sz w:val="22"/>
                <w:szCs w:val="22"/>
                <w:lang w:val="en-US" w:eastAsia="en-US" w:bidi="ar-SA"/>
              </w:rPr>
              <w:t>Leggibilita’</w:t>
            </w:r>
          </w:p>
        </w:tc>
        <w:tc>
          <w:tcPr>
            <w:tcW w:w="1274" w:type="dxa"/>
            <w:tcBorders/>
          </w:tcPr>
          <w:p>
            <w:pPr>
              <w:pStyle w:val="Normal"/>
              <w:widowControl/>
              <w:suppressAutoHyphens w:val="true"/>
              <w:spacing w:lineRule="auto" w:line="240" w:before="0" w:after="0"/>
              <w:jc w:val="left"/>
              <w:rPr>
                <w:b/>
                <w:bCs/>
                <w:lang w:val="it-IT"/>
              </w:rPr>
            </w:pPr>
            <w:r>
              <w:rPr>
                <w:rFonts w:eastAsia="Calibri" w:cs=""/>
                <w:b/>
                <w:bCs/>
                <w:kern w:val="0"/>
                <w:sz w:val="22"/>
                <w:szCs w:val="22"/>
                <w:lang w:val="it-IT" w:eastAsia="en-US" w:bidi="ar-SA"/>
              </w:rPr>
              <w:t>% siti con punteggio inferiore a 60/superiore a 8</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Calibri"/>
                <w:sz w:val="24"/>
                <w:szCs w:val="24"/>
                <w:lang w:val="it-IT"/>
              </w:rPr>
            </w:pPr>
            <w:r>
              <w:rPr>
                <w:rFonts w:eastAsia="Calibri" w:cs="Calibri"/>
                <w:kern w:val="0"/>
                <w:sz w:val="24"/>
                <w:szCs w:val="24"/>
                <w:lang w:val="it-IT" w:eastAsia="en-US" w:bidi="ar-SA"/>
              </w:rPr>
              <w:t>Flesch Reading Ease score</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96.6</w:t>
            </w:r>
          </w:p>
        </w:tc>
      </w:tr>
      <w:tr>
        <w:trPr>
          <w:trHeight w:val="300" w:hRule="atLeast"/>
        </w:trPr>
        <w:tc>
          <w:tcPr>
            <w:tcW w:w="4680" w:type="dxa"/>
            <w:tcBorders/>
          </w:tcPr>
          <w:p>
            <w:pPr>
              <w:pStyle w:val="Normal"/>
              <w:widowControl/>
              <w:suppressAutoHyphens w:val="true"/>
              <w:spacing w:lineRule="auto" w:line="240" w:before="0" w:after="0"/>
              <w:jc w:val="left"/>
              <w:rPr>
                <w:rFonts w:ascii="Calibri" w:hAnsi="Calibri" w:eastAsia="Calibri" w:cs="Calibri"/>
                <w:sz w:val="24"/>
                <w:szCs w:val="24"/>
                <w:lang w:val="it-IT"/>
              </w:rPr>
            </w:pPr>
            <w:r>
              <w:rPr>
                <w:rFonts w:eastAsia="Calibri" w:cs="Calibri"/>
                <w:kern w:val="0"/>
                <w:sz w:val="24"/>
                <w:szCs w:val="24"/>
                <w:lang w:val="it-IT" w:eastAsia="en-US" w:bidi="ar-SA"/>
              </w:rPr>
              <w:t>Flesch–-Kincaid score</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93.3</w:t>
            </w:r>
          </w:p>
        </w:tc>
      </w:tr>
    </w:tbl>
    <w:p>
      <w:pPr>
        <w:pStyle w:val="Normal"/>
        <w:keepNext w:val="true"/>
        <w:keepLines/>
        <w:rPr>
          <w:lang w:val="it-IT"/>
        </w:rPr>
      </w:pPr>
      <w:r>
        <w:rPr>
          <w:lang w:val="it-IT"/>
        </w:rPr>
      </w:r>
    </w:p>
    <w:p>
      <w:pPr>
        <w:pStyle w:val="Heading1"/>
        <w:spacing w:lineRule="auto" w:line="240" w:before="400" w:after="40"/>
        <w:rPr>
          <w:lang w:val="it-IT"/>
        </w:rPr>
      </w:pPr>
      <w:r>
        <w:rPr>
          <w:lang w:val="it-IT"/>
        </w:rPr>
        <w:t>INTERFACCIA DELLA POLITICA</w:t>
      </w:r>
    </w:p>
    <w:p>
      <w:pPr>
        <w:pStyle w:val="Normal"/>
        <w:spacing w:lineRule="auto" w:line="240" w:before="400" w:after="40"/>
        <w:rPr>
          <w:lang w:val="it-IT"/>
        </w:rPr>
      </w:pPr>
      <w:r>
        <w:rPr>
          <w:lang w:val="it-IT"/>
        </w:rPr>
      </w:r>
    </w:p>
    <w:tbl>
      <w:tblPr>
        <w:tblStyle w:val="TableGrid"/>
        <w:tblW w:w="595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4680"/>
        <w:gridCol w:w="1274"/>
      </w:tblGrid>
      <w:tr>
        <w:trPr>
          <w:trHeight w:val="300" w:hRule="atLeast"/>
        </w:trPr>
        <w:tc>
          <w:tcPr>
            <w:tcW w:w="4680"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Domande</w:t>
            </w:r>
          </w:p>
        </w:tc>
        <w:tc>
          <w:tcPr>
            <w:tcW w:w="1274"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 siti non conformi</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L'interfaccia della politica utilizza un approccio a piu' livelli per rappresentare le informazioni?</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93.3</w:t>
            </w:r>
          </w:p>
        </w:tc>
      </w:tr>
      <w:tr>
        <w:trPr>
          <w:trHeight w:val="300" w:hRule="atLeast"/>
        </w:trPr>
        <w:tc>
          <w:tcPr>
            <w:tcW w:w="4680" w:type="dxa"/>
            <w:tcBorders/>
          </w:tcPr>
          <w:p>
            <w:pPr>
              <w:pStyle w:val="TableContents"/>
              <w:suppressAutoHyphens w:val="true"/>
              <w:spacing w:before="0" w:after="160"/>
              <w:jc w:val="left"/>
              <w:rPr>
                <w:color w:val="000000"/>
              </w:rPr>
            </w:pPr>
            <w:r>
              <w:rPr>
                <w:color w:val="000000"/>
              </w:rPr>
              <w:t>L'interfaccia della politica utilizza delle icone grafiche?</w:t>
            </w:r>
          </w:p>
        </w:tc>
        <w:tc>
          <w:tcPr>
            <w:tcW w:w="1274" w:type="dxa"/>
            <w:tcBorders/>
          </w:tcPr>
          <w:p>
            <w:pPr>
              <w:pStyle w:val="Normal"/>
              <w:widowControl/>
              <w:suppressAutoHyphens w:val="true"/>
              <w:spacing w:lineRule="auto" w:line="240" w:before="0" w:after="0"/>
              <w:jc w:val="left"/>
              <w:rPr>
                <w:lang w:val="it-IT"/>
              </w:rPr>
            </w:pPr>
            <w:r>
              <w:rPr>
                <w:rFonts w:eastAsia="Calibri" w:cs=""/>
                <w:kern w:val="0"/>
                <w:sz w:val="22"/>
                <w:szCs w:val="22"/>
                <w:lang w:val="it-IT" w:eastAsia="en-US" w:bidi="ar-SA"/>
              </w:rPr>
              <w:t>96.6</w:t>
            </w:r>
          </w:p>
        </w:tc>
      </w:tr>
      <w:tr>
        <w:trPr>
          <w:trHeight w:val="81" w:hRule="atLeast"/>
        </w:trPr>
        <w:tc>
          <w:tcPr>
            <w:tcW w:w="4680"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Totale</w:t>
            </w:r>
          </w:p>
        </w:tc>
        <w:tc>
          <w:tcPr>
            <w:tcW w:w="1274"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96.6</w:t>
            </w:r>
          </w:p>
        </w:tc>
      </w:tr>
    </w:tbl>
    <w:p>
      <w:pPr>
        <w:pStyle w:val="Normal"/>
        <w:spacing w:lineRule="auto" w:line="240" w:before="400" w:after="40"/>
        <w:rPr>
          <w:lang w:val="it-IT"/>
        </w:rPr>
      </w:pPr>
      <w:r>
        <w:rPr>
          <w:lang w:val="it-IT"/>
        </w:rPr>
        <w:t>Totale siti non conformi mettendo insieme tutte le tabelle: 96,6 %</w:t>
      </w:r>
    </w:p>
    <w:p>
      <w:pPr>
        <w:pStyle w:val="Heading1"/>
        <w:spacing w:lineRule="auto" w:line="240" w:before="400" w:after="40"/>
        <w:rPr>
          <w:lang w:val="it-IT"/>
        </w:rPr>
      </w:pPr>
      <w:r>
        <w:rPr>
          <w:lang w:val="it-IT"/>
        </w:rPr>
        <w:t>DISCUSSIONE RISULTATI</w:t>
      </w:r>
    </w:p>
    <w:p>
      <w:pPr>
        <w:pStyle w:val="Normal"/>
        <w:spacing w:lineRule="auto" w:line="240" w:before="400" w:after="40"/>
        <w:rPr>
          <w:lang w:val="it-IT"/>
        </w:rPr>
      </w:pPr>
      <w:r>
        <w:rPr>
          <w:lang w:val="it-IT"/>
        </w:rPr>
        <w:t>A fronte dei risultati ottenuti e della analisi effettuata si può dire che la politica della privacy è un concetto che viene il più delle volte o tralasciato o rimaneggiato rispetto agli articoli del GDPR, poichè le aziende tipicamente concentrate sui servizi principali da garantire vedono come secondaria la riservatezza dei propri clienti o visitatori e potrebbero puntare sul fatto che gli utenti tipicamente non leggono le privacy per offuscare determinati comportamenti come l’evidenziare o meno della presenza di un sistema di profilazione.</w:t>
      </w:r>
    </w:p>
    <w:p>
      <w:pPr>
        <w:pStyle w:val="Normal"/>
        <w:spacing w:lineRule="auto" w:line="240" w:before="400" w:after="40"/>
        <w:rPr>
          <w:lang w:val="it-IT"/>
        </w:rPr>
      </w:pPr>
      <w:r>
        <w:rPr>
          <w:lang w:val="it-IT"/>
        </w:rPr>
        <w:t>Durante l’analisi infatti si è riscontrato che ci sono privacy che cercano in modo evidente di seguire i criteri del GDPR nominandolo tal volta, mentre altre che riorganizzano il contenuto dei punti da seguire a loro modo generando (forse volutamente) confusione in chi le legge, non seguendo i criteri imposti o facendolo con terminologie differenti e sparse nel testo, non quindi organizzate in paragrafi standard.</w:t>
      </w:r>
    </w:p>
    <w:p>
      <w:pPr>
        <w:pStyle w:val="Normal"/>
        <w:spacing w:lineRule="auto" w:line="240" w:before="400" w:after="40"/>
        <w:rPr>
          <w:lang w:val="it-IT"/>
        </w:rPr>
      </w:pPr>
      <w:r>
        <w:rPr>
          <w:lang w:val="it-IT"/>
        </w:rPr>
        <w:t xml:space="preserve">Leggendo le varie politiche della privacy dei vari siti ho riscontrato che anche la scarsa leggibilità comunicata dai punteggi scolastici ed effettivamente può essere un’ ulteriore difficoltà per chi non conosce l’ambiente dei dati e del suo trattamento, infatti i punteggio mostrano spesso un severo </w:t>
      </w:r>
      <w:r>
        <w:rPr>
          <w:lang w:val="it-IT"/>
        </w:rPr>
        <w:t>risultato</w:t>
      </w:r>
      <w:r>
        <w:rPr>
          <w:lang w:val="it-IT"/>
        </w:rPr>
        <w:t xml:space="preserve"> e solo in alcuni casi rari il calcolatore dei valori mi ha mostrato che fossero facilmente leggili le privacy in input. Per il calcolo di questi punteggi sono state utilizzate le privacy nelle loro lingue originali, salvo per quei siti il cui URL iniziale fosse in italiano (“/it”).</w:t>
      </w:r>
    </w:p>
    <w:p>
      <w:pPr>
        <w:pStyle w:val="Normal"/>
        <w:spacing w:lineRule="auto" w:line="240" w:before="400" w:after="40"/>
        <w:rPr>
          <w:lang w:val="it-IT"/>
        </w:rPr>
      </w:pPr>
      <w:r>
        <w:rPr>
          <w:lang w:val="it-IT"/>
        </w:rPr>
        <w:t>Il 40% ottenuto della presenza di frasi complesse è dovuto al fatto che anche se alcune privacy avevano dei buoni settori di suddivisione che incrementavano la leggibilità, comunque in alcuni punti riscontravano frasi particolarmente lunghe e alcune volte contorte.</w:t>
      </w:r>
    </w:p>
    <w:p>
      <w:pPr>
        <w:pStyle w:val="Normal"/>
        <w:spacing w:lineRule="auto" w:line="240" w:before="400" w:after="40"/>
        <w:rPr>
          <w:lang w:val="it-IT"/>
        </w:rPr>
      </w:pPr>
      <w:r>
        <w:rPr>
          <w:lang w:val="it-IT"/>
        </w:rPr>
        <w:t>A livello di accessibilità invece ho riscontrato in due o tre casistiche di come quasi non fosse presente la politica della privacy e che quindi sia stato necessario cercare bene navigando a volte anche per più pagine di alcuni siti, mentre altri riportavano o in fondo o nel primo messaggio della richiesta dell’utilizzo dei cookie anche il link per arrivare alla politica sulla riservatezza.</w:t>
      </w:r>
    </w:p>
    <w:p>
      <w:pPr>
        <w:pStyle w:val="Normal"/>
        <w:spacing w:lineRule="auto" w:line="240" w:before="400" w:after="40"/>
        <w:rPr>
          <w:lang w:val="it-IT"/>
        </w:rPr>
      </w:pPr>
      <w:r>
        <w:rPr>
          <w:lang w:val="it-IT"/>
        </w:rPr>
        <w:t>Si è riscontrata una difficoltà nel trovare ad esempio dove fossero stanziate le basi giuridiche, che in alcune privacy venivano riportate in modo esplicito, altre spargendone il contenuto in più paragrafi, difficilmente dandomi la possibilità di capire se potevo confermare o dissentire la presenza delle basi giuridiche come contenuto.</w:t>
      </w:r>
    </w:p>
    <w:p>
      <w:pPr>
        <w:pStyle w:val="Normal"/>
        <w:spacing w:lineRule="auto" w:line="240" w:before="400" w:after="40"/>
        <w:rPr>
          <w:lang w:val="it-IT"/>
        </w:rPr>
      </w:pPr>
      <w:r>
        <w:rPr>
          <w:lang w:val="it-IT"/>
        </w:rPr>
        <w:t>L’informazione della presenza della profilazione o meno degli individui era sempre sparsa in giro, senza avere un pattern di riconoscimento, probabilmente chi avrebbe letto la privacy avrebbe potuto evitarla poichè non sempre messa in evidenza.</w:t>
      </w:r>
    </w:p>
    <w:p>
      <w:pPr>
        <w:pStyle w:val="Normal"/>
        <w:spacing w:lineRule="auto" w:line="240" w:before="400" w:after="40"/>
        <w:rPr>
          <w:lang w:val="it-IT"/>
        </w:rPr>
      </w:pPr>
      <w:r>
        <w:rPr>
          <w:lang w:val="it-IT"/>
        </w:rPr>
        <w:t>Si è notato comunque un buon approccio con elenchi puntati che spesso rendevano le policy più leggibili e scorrevoli, in alcuni casi venivano intabellati dati importanti come le finalità di raccolta dati, gli attori coinvolti nella condivisione dei dati e il tempo o i criteri per i quali venivano conservate le informazioni prima della cancellazione.</w:t>
      </w:r>
    </w:p>
    <w:p>
      <w:pPr>
        <w:pStyle w:val="Normal"/>
        <w:spacing w:lineRule="auto" w:line="240" w:before="400" w:after="40"/>
        <w:rPr>
          <w:lang w:val="it-IT"/>
        </w:rPr>
      </w:pPr>
      <w:r>
        <w:rPr>
          <w:lang w:val="it-IT"/>
        </w:rPr>
        <w:t>Un altro dato più preoccupante è quello dell’interfaccia della politica poichè sembra che la maggior parte dei siti non rispetti l’utilizzo dell’ approccio a più livelli o foto per spiegarne il contenuto e renderlo quindi più capibile dagli utenti. É stato riscontrato anche l’assenza completa di video di spiegazione.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LibreOffice/24.2.6.2$Linux_X86_64 LibreOffice_project/420$Build-2</Application>
  <AppVersion>15.0000</AppVersion>
  <DocSecurity>4</DocSecurity>
  <Pages>4</Pages>
  <Words>886</Words>
  <Characters>4961</Characters>
  <CharactersWithSpaces>5770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2023-12-23T01:01:00Z</dcterms:created>
  <dc:creator>Federica Maria Francesca Paci</dc:creator>
  <dc:description/>
  <dc:language>it-IT</dc:language>
  <cp:lastModifiedBy/>
  <dcterms:modified xsi:type="dcterms:W3CDTF">2024-09-20T16:25:45Z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