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Segurança da Informação </w:t>
      </w:r>
    </w:p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Professor(</w:t>
      </w:r>
      <w:proofErr w:type="spellStart"/>
      <w:r>
        <w:rPr>
          <w:sz w:val="22"/>
          <w:szCs w:val="22"/>
        </w:rPr>
        <w:t>es</w:t>
      </w:r>
      <w:proofErr w:type="spellEnd"/>
      <w:r>
        <w:rPr>
          <w:sz w:val="22"/>
          <w:szCs w:val="22"/>
        </w:rPr>
        <w:t xml:space="preserve">) responsável(is): Kelly Alves Martins de Lima </w:t>
      </w:r>
    </w:p>
    <w:p w:rsidR="0007550E" w:rsidRDefault="0007550E" w:rsidP="0007550E">
      <w:pPr>
        <w:pStyle w:val="Default"/>
        <w:rPr>
          <w:sz w:val="22"/>
          <w:szCs w:val="22"/>
        </w:rPr>
      </w:pPr>
    </w:p>
    <w:p w:rsidR="00D22321" w:rsidRDefault="00D22321"/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Fazer uma análise de risco de ativos críticos para o sucesso do negócio, baseado no sistema de controle de acesso desenvolvido no componente Programação com Frameworks e propor medidas para controle dos riscos. </w:t>
      </w:r>
    </w:p>
    <w:p w:rsidR="0007550E" w:rsidRDefault="0007550E"/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Atividades: </w:t>
      </w:r>
    </w:p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Realizar o levantamento dos ativos críticos relacionados a tecnologias para o sucesso do negócio. </w:t>
      </w:r>
    </w:p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Levantar os riscos inerentes aos ativos. </w:t>
      </w:r>
    </w:p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Estabelecer medidas para controle dos riscos. </w:t>
      </w:r>
    </w:p>
    <w:p w:rsidR="0007550E" w:rsidRDefault="0007550E"/>
    <w:sectPr w:rsidR="0007550E" w:rsidSect="00D22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7550E"/>
    <w:rsid w:val="0007550E"/>
    <w:rsid w:val="00D22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755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1</cp:revision>
  <dcterms:created xsi:type="dcterms:W3CDTF">2018-06-04T23:29:00Z</dcterms:created>
  <dcterms:modified xsi:type="dcterms:W3CDTF">2018-06-04T23:31:00Z</dcterms:modified>
</cp:coreProperties>
</file>