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C5CB" w14:textId="77777777" w:rsidR="00000000" w:rsidRDefault="00000000">
      <w:pPr>
        <w:shd w:val="clear" w:color="auto" w:fill="0F766E"/>
        <w:jc w:val="center"/>
        <w:divId w:val="1355769018"/>
        <w:rPr>
          <w:rFonts w:ascii="Calibri" w:eastAsia="Times New Roman" w:hAnsi="Calibri" w:cs="Calibri"/>
          <w:caps/>
          <w:color w:val="FFFFFF"/>
          <w:spacing w:val="60"/>
          <w:sz w:val="20"/>
          <w:szCs w:val="20"/>
        </w:rPr>
      </w:pPr>
      <w:r>
        <w:rPr>
          <w:rFonts w:ascii="Calibri" w:eastAsia="Times New Roman" w:hAnsi="Calibri" w:cs="Calibri"/>
          <w:caps/>
          <w:color w:val="FFFFFF"/>
          <w:spacing w:val="60"/>
          <w:sz w:val="20"/>
          <w:szCs w:val="20"/>
        </w:rPr>
        <w:t>BluePrint IA · Consultor Sênior MIT CISR</w:t>
      </w:r>
    </w:p>
    <w:p w14:paraId="6D3CC75F" w14:textId="77777777" w:rsidR="00000000" w:rsidRDefault="00000000">
      <w:pPr>
        <w:shd w:val="clear" w:color="auto" w:fill="0F766E"/>
        <w:jc w:val="center"/>
        <w:divId w:val="1335717598"/>
        <w:rPr>
          <w:rFonts w:ascii="Calibri" w:eastAsia="Times New Roman" w:hAnsi="Calibri" w:cs="Calibri"/>
          <w:b/>
          <w:bCs/>
          <w:color w:val="FFFFFF"/>
          <w:spacing w:val="10"/>
          <w:sz w:val="64"/>
          <w:szCs w:val="64"/>
        </w:rPr>
      </w:pPr>
      <w:r>
        <w:rPr>
          <w:rFonts w:ascii="Calibri" w:eastAsia="Times New Roman" w:hAnsi="Calibri" w:cs="Calibri"/>
          <w:b/>
          <w:bCs/>
          <w:color w:val="FFFFFF"/>
          <w:spacing w:val="10"/>
          <w:sz w:val="64"/>
          <w:szCs w:val="64"/>
        </w:rPr>
        <w:t>Book de Trabalho — Maturidade em IA</w:t>
      </w:r>
    </w:p>
    <w:p w14:paraId="4FB9846B" w14:textId="77777777" w:rsidR="00000000" w:rsidRDefault="00000000">
      <w:pPr>
        <w:shd w:val="clear" w:color="auto" w:fill="0F766E"/>
        <w:jc w:val="center"/>
        <w:divId w:val="1630895883"/>
        <w:rPr>
          <w:rFonts w:ascii="Calibri" w:eastAsia="Times New Roman" w:hAnsi="Calibri" w:cs="Calibri"/>
          <w:color w:val="FFFFFF"/>
          <w:sz w:val="28"/>
          <w:szCs w:val="28"/>
        </w:rPr>
      </w:pPr>
      <w:r>
        <w:rPr>
          <w:rFonts w:ascii="Calibri" w:eastAsia="Times New Roman" w:hAnsi="Calibri" w:cs="Calibri"/>
          <w:color w:val="FFFFFF"/>
          <w:sz w:val="28"/>
          <w:szCs w:val="28"/>
        </w:rPr>
        <w:t>Análise Aprofundada por Dimensão · Roadmap · KPIs · Governança</w:t>
      </w:r>
    </w:p>
    <w:p w14:paraId="1B19CEEC" w14:textId="77777777" w:rsidR="00000000" w:rsidRDefault="00000000">
      <w:pPr>
        <w:jc w:val="center"/>
        <w:divId w:val="1113553807"/>
        <w:rPr>
          <w:rFonts w:ascii="Calibri" w:eastAsia="Times New Roman" w:hAnsi="Calibri" w:cs="Calibri"/>
          <w:color w:val="475569"/>
          <w:sz w:val="22"/>
          <w:szCs w:val="22"/>
        </w:rPr>
      </w:pPr>
      <w:r>
        <w:rPr>
          <w:rFonts w:ascii="Calibri" w:eastAsia="Times New Roman" w:hAnsi="Calibri" w:cs="Calibri"/>
          <w:b/>
          <w:bCs/>
          <w:color w:val="0F766E"/>
          <w:sz w:val="22"/>
          <w:szCs w:val="22"/>
        </w:rPr>
        <w:t>Empresa:</w:t>
      </w:r>
      <w:r>
        <w:rPr>
          <w:rFonts w:ascii="Calibri" w:eastAsia="Times New Roman" w:hAnsi="Calibri" w:cs="Calibri"/>
          <w:color w:val="475569"/>
          <w:sz w:val="22"/>
          <w:szCs w:val="22"/>
        </w:rPr>
        <w:t xml:space="preserve"> Empresa Teste Maturidade IA</w:t>
      </w:r>
    </w:p>
    <w:p w14:paraId="4823E33D" w14:textId="77777777" w:rsidR="00000000" w:rsidRDefault="00000000">
      <w:pPr>
        <w:jc w:val="center"/>
        <w:divId w:val="1337608752"/>
        <w:rPr>
          <w:rFonts w:ascii="Calibri" w:eastAsia="Times New Roman" w:hAnsi="Calibri" w:cs="Calibri"/>
          <w:color w:val="475569"/>
          <w:sz w:val="22"/>
          <w:szCs w:val="22"/>
        </w:rPr>
      </w:pPr>
      <w:r>
        <w:rPr>
          <w:rFonts w:ascii="Calibri" w:eastAsia="Times New Roman" w:hAnsi="Calibri" w:cs="Calibri"/>
          <w:b/>
          <w:bCs/>
          <w:color w:val="0F766E"/>
          <w:sz w:val="22"/>
          <w:szCs w:val="22"/>
        </w:rPr>
        <w:t>Projeto:</w:t>
      </w:r>
      <w:r>
        <w:rPr>
          <w:rFonts w:ascii="Calibri" w:eastAsia="Times New Roman" w:hAnsi="Calibri" w:cs="Calibri"/>
          <w:color w:val="475569"/>
          <w:sz w:val="22"/>
          <w:szCs w:val="22"/>
        </w:rPr>
        <w:t xml:space="preserve"> BluePrint Maturidade IA</w:t>
      </w:r>
    </w:p>
    <w:p w14:paraId="23D17B25" w14:textId="77777777" w:rsidR="00000000" w:rsidRDefault="00000000">
      <w:pPr>
        <w:jc w:val="center"/>
        <w:divId w:val="865100712"/>
        <w:rPr>
          <w:rFonts w:ascii="Calibri" w:eastAsia="Times New Roman" w:hAnsi="Calibri" w:cs="Calibri"/>
          <w:color w:val="475569"/>
          <w:sz w:val="22"/>
          <w:szCs w:val="22"/>
        </w:rPr>
      </w:pPr>
      <w:r>
        <w:rPr>
          <w:rFonts w:ascii="Calibri" w:eastAsia="Times New Roman" w:hAnsi="Calibri" w:cs="Calibri"/>
          <w:b/>
          <w:bCs/>
          <w:color w:val="0F766E"/>
          <w:sz w:val="22"/>
          <w:szCs w:val="22"/>
        </w:rPr>
        <w:t>Data:</w:t>
      </w:r>
      <w:r>
        <w:rPr>
          <w:rFonts w:ascii="Calibri" w:eastAsia="Times New Roman" w:hAnsi="Calibri" w:cs="Calibri"/>
          <w:color w:val="475569"/>
          <w:sz w:val="22"/>
          <w:szCs w:val="22"/>
        </w:rPr>
        <w:t xml:space="preserve"> 17 de junho de 2026</w:t>
      </w:r>
    </w:p>
    <w:p w14:paraId="366E0811" w14:textId="77777777" w:rsidR="00000000" w:rsidRDefault="00000000">
      <w:pPr>
        <w:shd w:val="clear" w:color="auto" w:fill="F5F3FF"/>
        <w:jc w:val="center"/>
        <w:divId w:val="202795707"/>
        <w:rPr>
          <w:rFonts w:ascii="Calibri" w:eastAsia="Times New Roman" w:hAnsi="Calibri" w:cs="Calibri"/>
          <w:color w:val="6B21A8"/>
          <w:sz w:val="18"/>
          <w:szCs w:val="18"/>
        </w:rPr>
      </w:pPr>
      <w:r>
        <w:rPr>
          <w:rFonts w:ascii="Calibri" w:eastAsia="Times New Roman" w:hAnsi="Calibri" w:cs="Calibri"/>
          <w:color w:val="6B21A8"/>
          <w:sz w:val="18"/>
          <w:szCs w:val="18"/>
        </w:rPr>
        <w:t>Documento gerado com tecnologia de Inteligência Artificial</w:t>
      </w:r>
      <w:r>
        <w:rPr>
          <w:rFonts w:ascii="Calibri" w:eastAsia="Times New Roman" w:hAnsi="Calibri" w:cs="Calibri"/>
          <w:color w:val="6B21A8"/>
          <w:sz w:val="18"/>
          <w:szCs w:val="18"/>
        </w:rPr>
        <w:br w:type="page"/>
        <w:t xml:space="preserve">Validado pela metodologia </w:t>
      </w:r>
      <w:r>
        <w:rPr>
          <w:rStyle w:val="Forte"/>
          <w:rFonts w:ascii="Calibri" w:eastAsia="Times New Roman" w:hAnsi="Calibri" w:cs="Calibri"/>
          <w:color w:val="6B21A8"/>
          <w:sz w:val="18"/>
          <w:szCs w:val="18"/>
        </w:rPr>
        <w:t>MIT CISR Enterprise AI Maturity Model</w:t>
      </w:r>
      <w:r>
        <w:rPr>
          <w:rFonts w:ascii="Calibri" w:eastAsia="Times New Roman" w:hAnsi="Calibri" w:cs="Calibri"/>
          <w:color w:val="6B21A8"/>
          <w:sz w:val="18"/>
          <w:szCs w:val="18"/>
        </w:rPr>
        <w:t xml:space="preserve"> </w:t>
      </w:r>
    </w:p>
    <w:p w14:paraId="363854E9"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Nível dos avaliadores no consolidado</w:t>
      </w:r>
    </w:p>
    <w:p w14:paraId="2A1E353B" w14:textId="77777777" w:rsidR="00000000" w:rsidRDefault="00000000">
      <w:pPr>
        <w:pStyle w:val="NormalWeb"/>
        <w:shd w:val="clear" w:color="auto" w:fill="FAF5FF"/>
        <w:spacing w:before="0" w:beforeAutospacing="0" w:after="120" w:afterAutospacing="0"/>
        <w:divId w:val="963117640"/>
        <w:rPr>
          <w:rFonts w:ascii="Calibri" w:hAnsi="Calibri" w:cs="Calibri"/>
          <w:i/>
          <w:iCs/>
          <w:color w:val="581C87"/>
          <w:sz w:val="22"/>
          <w:szCs w:val="22"/>
        </w:rPr>
      </w:pPr>
      <w:r>
        <w:rPr>
          <w:rFonts w:ascii="Calibri" w:hAnsi="Calibri" w:cs="Calibri"/>
          <w:i/>
          <w:iCs/>
          <w:color w:val="581C87"/>
          <w:sz w:val="22"/>
          <w:szCs w:val="22"/>
        </w:rPr>
        <w:t xml:space="preserve">Os scores e a análise deste documento usam </w:t>
      </w:r>
      <w:r>
        <w:rPr>
          <w:rStyle w:val="Forte"/>
          <w:rFonts w:ascii="Calibri" w:hAnsi="Calibri" w:cs="Calibri"/>
          <w:i/>
          <w:iCs/>
          <w:color w:val="581C87"/>
          <w:sz w:val="22"/>
          <w:szCs w:val="22"/>
        </w:rPr>
        <w:t>apenas</w:t>
      </w:r>
      <w:r>
        <w:rPr>
          <w:rFonts w:ascii="Calibri" w:hAnsi="Calibri" w:cs="Calibri"/>
          <w:i/>
          <w:iCs/>
          <w:color w:val="581C87"/>
          <w:sz w:val="22"/>
          <w:szCs w:val="22"/>
        </w:rPr>
        <w:t xml:space="preserve"> avaliações finalizadas dos avaliadores listados abaixo, com o </w:t>
      </w:r>
      <w:r>
        <w:rPr>
          <w:rStyle w:val="Forte"/>
          <w:rFonts w:ascii="Calibri" w:hAnsi="Calibri" w:cs="Calibri"/>
          <w:i/>
          <w:iCs/>
          <w:color w:val="581C87"/>
          <w:sz w:val="22"/>
          <w:szCs w:val="22"/>
        </w:rPr>
        <w:t>mesmo filtro de prioridade</w:t>
      </w:r>
      <w:r>
        <w:rPr>
          <w:rFonts w:ascii="Calibri" w:hAnsi="Calibri" w:cs="Calibri"/>
          <w:i/>
          <w:iCs/>
          <w:color w:val="581C87"/>
          <w:sz w:val="22"/>
          <w:szCs w:val="22"/>
        </w:rPr>
        <w:t xml:space="preserve"> do dashboard de maturidade do projeto.</w:t>
      </w:r>
    </w:p>
    <w:tbl>
      <w:tblPr>
        <w:tblW w:w="5000" w:type="pct"/>
        <w:tblCellMar>
          <w:top w:w="15" w:type="dxa"/>
          <w:left w:w="15" w:type="dxa"/>
          <w:bottom w:w="15" w:type="dxa"/>
          <w:right w:w="15" w:type="dxa"/>
        </w:tblCellMar>
        <w:tblLook w:val="04A0" w:firstRow="1" w:lastRow="0" w:firstColumn="1" w:lastColumn="0" w:noHBand="0" w:noVBand="1"/>
      </w:tblPr>
      <w:tblGrid>
        <w:gridCol w:w="2853"/>
        <w:gridCol w:w="5635"/>
      </w:tblGrid>
      <w:tr w:rsidR="00000000" w14:paraId="0FFD01EA" w14:textId="77777777">
        <w:trPr>
          <w:divId w:val="977103296"/>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3ECCFF4" w14:textId="77777777" w:rsidR="00000000" w:rsidRDefault="00000000">
            <w:pPr>
              <w:rPr>
                <w:rFonts w:ascii="Calibri" w:hAnsi="Calibri" w:cs="Calibri"/>
                <w:i/>
                <w:iCs/>
                <w:color w:val="581C87"/>
                <w:sz w:val="22"/>
                <w:szCs w:val="22"/>
              </w:rPr>
            </w:pP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EF2B456" w14:textId="77777777" w:rsidR="00000000" w:rsidRDefault="00000000">
            <w:pPr>
              <w:spacing w:before="240" w:after="240"/>
              <w:rPr>
                <w:rFonts w:eastAsia="Times New Roman"/>
                <w:sz w:val="20"/>
                <w:szCs w:val="20"/>
              </w:rPr>
            </w:pPr>
          </w:p>
        </w:tc>
      </w:tr>
      <w:tr w:rsidR="00000000" w14:paraId="4C43F4BC" w14:textId="77777777">
        <w:trPr>
          <w:divId w:val="97710329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3F2A1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Empresa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3EF4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Empresa Teste Maturidade IA</w:t>
            </w:r>
          </w:p>
        </w:tc>
      </w:tr>
      <w:tr w:rsidR="00000000" w14:paraId="53E9633E" w14:textId="77777777">
        <w:trPr>
          <w:divId w:val="97710329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10AA3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Projeto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5EB24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BluePrint Maturidade IA</w:t>
            </w:r>
          </w:p>
        </w:tc>
      </w:tr>
      <w:tr w:rsidR="00000000" w14:paraId="66EB6E50" w14:textId="77777777">
        <w:trPr>
          <w:divId w:val="97710329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B91367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Filtro de prioridade aplicado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CE421A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Até nível 1 — somente avaliadores com prioridade cadastral 1</w:t>
            </w:r>
          </w:p>
        </w:tc>
      </w:tr>
      <w:tr w:rsidR="00000000" w14:paraId="299B324F" w14:textId="77777777">
        <w:trPr>
          <w:divId w:val="97710329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F3D5D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Quantidade de avaliadores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55E9C3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w:t>
            </w:r>
          </w:p>
        </w:tc>
      </w:tr>
    </w:tbl>
    <w:tbl>
      <w:tblPr>
        <w:tblW w:w="5000" w:type="pct"/>
        <w:tblCellMar>
          <w:top w:w="15" w:type="dxa"/>
          <w:left w:w="15" w:type="dxa"/>
          <w:bottom w:w="15" w:type="dxa"/>
          <w:right w:w="15" w:type="dxa"/>
        </w:tblCellMar>
        <w:tblLook w:val="04A0" w:firstRow="1" w:lastRow="0" w:firstColumn="1" w:lastColumn="0" w:noHBand="0" w:noVBand="1"/>
      </w:tblPr>
      <w:tblGrid>
        <w:gridCol w:w="1844"/>
        <w:gridCol w:w="4374"/>
        <w:gridCol w:w="2270"/>
      </w:tblGrid>
      <w:tr w:rsidR="00000000" w14:paraId="0F66E48F" w14:textId="77777777">
        <w:trPr>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1E5DC1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Avaliador</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A3A0F1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E-mail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061B4E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Prioridade (1–3)</w:t>
            </w:r>
          </w:p>
        </w:tc>
      </w:tr>
      <w:tr w:rsidR="00000000" w14:paraId="3787BFFC"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95AEA1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FD41BC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avaliador01@empresa-teste.com.br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73B430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0DCA35DE"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DDCE8D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DE103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avaliador02@empresa-teste.com.br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220FF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0B75A8C0"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1814A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19F4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avaliador03@empresa-teste.com.br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6B3D16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4D1FA468"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BD78E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70E9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avaliador04@empresa-teste.com.br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1BF90B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4DF72F04"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1F3012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27FE0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avaliador05@empresa-teste.com.br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EDC215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2A783FFD"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ED379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1E2734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avaliador06@empresa-teste.com.br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6DCDA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16A37ADD"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23B94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AD25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avaliador07@empresa-teste.com.br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893AD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6F0AE94D"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AD36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813410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avaliador08@empresa-teste.com.br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B36A8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030BD51B"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A51F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09</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9B6DE0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avaliador09@empresa-teste.com.br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715D0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38323A8B"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FB195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10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070E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avaliador10@empresa-teste.com.br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B96A5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1A947C24"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9FCA8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11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CD0BE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avaliador11@empresa-teste.com.br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F26479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7C65C46B"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D6B2B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12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36601C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avaliador12@empresa-teste.com.br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B5DE6A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61751D35"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2D28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13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76572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avaliador13@empresa-teste.com.br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F9C7D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39284B1D" w14:textId="77777777">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EE75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14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B2794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avaliador14@empresa-teste.com.br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7204A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r w:rsidR="00000000" w14:paraId="37EEC5D9" w14:textId="77777777">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9D65AF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 15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6CC8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avaliador15@empresa-teste.com.br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49C3F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r>
    </w:tbl>
    <w:p w14:paraId="5E28F2B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387EA2A">
          <v:rect id="_x0000_i1160" alt="" style="width:425.2pt;height:.05pt;mso-width-percent:0;mso-height-percent:0;mso-width-percent:0;mso-height-percent:0" o:hralign="center" o:hrstd="t" o:hr="t" fillcolor="#a0a0a0" stroked="f"/>
        </w:pict>
      </w:r>
    </w:p>
    <w:p w14:paraId="63F545DA" w14:textId="77777777" w:rsidR="00000000" w:rsidRDefault="00000000">
      <w:pPr>
        <w:pStyle w:val="Ttulo1"/>
        <w:keepNext/>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Índice</w:t>
      </w:r>
    </w:p>
    <w:p w14:paraId="5385AC70"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metodologia-aplicada" w:history="1">
        <w:r>
          <w:rPr>
            <w:rStyle w:val="Hyperlink"/>
            <w:rFonts w:ascii="Calibri" w:eastAsia="Times New Roman" w:hAnsi="Calibri" w:cs="Calibri"/>
            <w:color w:val="2563EB"/>
            <w:sz w:val="22"/>
            <w:szCs w:val="22"/>
          </w:rPr>
          <w:t>1. METODOLOGIA APLICADA</w:t>
        </w:r>
      </w:hyperlink>
    </w:p>
    <w:p w14:paraId="4A352246"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referencial-teorico-mit-cisr-enterprise" w:history="1">
        <w:r>
          <w:rPr>
            <w:rStyle w:val="Hyperlink"/>
            <w:rFonts w:ascii="Calibri" w:eastAsia="Times New Roman" w:hAnsi="Calibri" w:cs="Calibri"/>
            <w:color w:val="2563EB"/>
            <w:sz w:val="22"/>
            <w:szCs w:val="22"/>
          </w:rPr>
          <w:t>Referencial Teórico: MIT CISR Enterprise AI Maturity Model</w:t>
        </w:r>
      </w:hyperlink>
    </w:p>
    <w:p w14:paraId="7370AC3F"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criterios-de-avaliacao-utilizados" w:history="1">
        <w:r>
          <w:rPr>
            <w:rStyle w:val="Hyperlink"/>
            <w:rFonts w:ascii="Calibri" w:eastAsia="Times New Roman" w:hAnsi="Calibri" w:cs="Calibri"/>
            <w:color w:val="2563EB"/>
            <w:sz w:val="22"/>
            <w:szCs w:val="22"/>
          </w:rPr>
          <w:t>Critérios de Avaliação Utilizados</w:t>
        </w:r>
      </w:hyperlink>
    </w:p>
    <w:p w14:paraId="448CDE6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como-interpretar-os-scores-e-niveis" w:history="1">
        <w:r>
          <w:rPr>
            <w:rStyle w:val="Hyperlink"/>
            <w:rFonts w:ascii="Calibri" w:eastAsia="Times New Roman" w:hAnsi="Calibri" w:cs="Calibri"/>
            <w:color w:val="2563EB"/>
            <w:sz w:val="22"/>
            <w:szCs w:val="22"/>
          </w:rPr>
          <w:t>Como Interpretar os Scores e Níveis</w:t>
        </w:r>
      </w:hyperlink>
    </w:p>
    <w:p w14:paraId="6B3CF673"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2-sumario-executivo" w:history="1">
        <w:r>
          <w:rPr>
            <w:rStyle w:val="Hyperlink"/>
            <w:rFonts w:ascii="Calibri" w:eastAsia="Times New Roman" w:hAnsi="Calibri" w:cs="Calibri"/>
            <w:color w:val="2563EB"/>
            <w:sz w:val="22"/>
            <w:szCs w:val="22"/>
          </w:rPr>
          <w:t>2. SUMÁRIO EXECUTIVO</w:t>
        </w:r>
      </w:hyperlink>
    </w:p>
    <w:p w14:paraId="1CC77C3C"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diagnostico" w:history="1">
        <w:r>
          <w:rPr>
            <w:rStyle w:val="Hyperlink"/>
            <w:rFonts w:ascii="Calibri" w:eastAsia="Times New Roman" w:hAnsi="Calibri" w:cs="Calibri"/>
            <w:color w:val="2563EB"/>
            <w:sz w:val="22"/>
            <w:szCs w:val="22"/>
          </w:rPr>
          <w:t>Diagnóstico</w:t>
        </w:r>
      </w:hyperlink>
    </w:p>
    <w:p w14:paraId="2BF5D733"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ganho-no-longo-prazo-mit" w:history="1">
        <w:r>
          <w:rPr>
            <w:rStyle w:val="Hyperlink"/>
            <w:rFonts w:ascii="Calibri" w:eastAsia="Times New Roman" w:hAnsi="Calibri" w:cs="Calibri"/>
            <w:color w:val="2563EB"/>
            <w:sz w:val="22"/>
            <w:szCs w:val="22"/>
          </w:rPr>
          <w:t>Ganho no Longo Prazo (MIT)</w:t>
        </w:r>
      </w:hyperlink>
    </w:p>
    <w:p w14:paraId="114D8B5C"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evolucao-entre-rodadas" w:history="1">
        <w:r>
          <w:rPr>
            <w:rStyle w:val="Hyperlink"/>
            <w:rFonts w:ascii="Calibri" w:eastAsia="Times New Roman" w:hAnsi="Calibri" w:cs="Calibri"/>
            <w:color w:val="2563EB"/>
            <w:sz w:val="22"/>
            <w:szCs w:val="22"/>
          </w:rPr>
          <w:t>Evolução entre Rodadas</w:t>
        </w:r>
      </w:hyperlink>
    </w:p>
    <w:p w14:paraId="66E7F501"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painel-estrategico-score-geral" w:history="1">
        <w:r>
          <w:rPr>
            <w:rStyle w:val="Hyperlink"/>
            <w:rFonts w:ascii="Calibri" w:eastAsia="Times New Roman" w:hAnsi="Calibri" w:cs="Calibri"/>
            <w:color w:val="2563EB"/>
            <w:sz w:val="22"/>
            <w:szCs w:val="22"/>
          </w:rPr>
          <w:t>Painel Estratégico — Score Geral</w:t>
        </w:r>
      </w:hyperlink>
    </w:p>
    <w:p w14:paraId="6BAF041F"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top-5-insights-estrategicos" w:history="1">
        <w:r>
          <w:rPr>
            <w:rStyle w:val="Hyperlink"/>
            <w:rFonts w:ascii="Calibri" w:eastAsia="Times New Roman" w:hAnsi="Calibri" w:cs="Calibri"/>
            <w:color w:val="2563EB"/>
            <w:sz w:val="22"/>
            <w:szCs w:val="22"/>
          </w:rPr>
          <w:t>Top 5 Insights Estratégicos</w:t>
        </w:r>
      </w:hyperlink>
    </w:p>
    <w:p w14:paraId="343E1485"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diagnostico-por-dimensao" w:history="1">
        <w:r>
          <w:rPr>
            <w:rStyle w:val="Hyperlink"/>
            <w:rFonts w:ascii="Calibri" w:eastAsia="Times New Roman" w:hAnsi="Calibri" w:cs="Calibri"/>
            <w:color w:val="2563EB"/>
            <w:sz w:val="22"/>
            <w:szCs w:val="22"/>
          </w:rPr>
          <w:t>3. DIAGNÓSTICO POR DIMENSÃO</w:t>
        </w:r>
      </w:hyperlink>
    </w:p>
    <w:p w14:paraId="4CA60483"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dimensao-estrategia-e-lideranca-scor" w:history="1">
        <w:r>
          <w:rPr>
            <w:rStyle w:val="Hyperlink"/>
            <w:rFonts w:ascii="Calibri" w:eastAsia="Times New Roman" w:hAnsi="Calibri" w:cs="Calibri"/>
            <w:color w:val="2563EB"/>
            <w:sz w:val="22"/>
            <w:szCs w:val="22"/>
          </w:rPr>
          <w:t>3.1 Dimensão — Estratégia e Liderança — Score 2.21 · Nível 2</w:t>
        </w:r>
      </w:hyperlink>
    </w:p>
    <w:p w14:paraId="1807F966"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2-dimensao-dados-e-tecnologia-score-21" w:history="1">
        <w:r>
          <w:rPr>
            <w:rStyle w:val="Hyperlink"/>
            <w:rFonts w:ascii="Calibri" w:eastAsia="Times New Roman" w:hAnsi="Calibri" w:cs="Calibri"/>
            <w:color w:val="2563EB"/>
            <w:sz w:val="22"/>
            <w:szCs w:val="22"/>
          </w:rPr>
          <w:t>3.2 Dimensão — Dados e Tecnologia — Score 2.16 · Nível 2</w:t>
        </w:r>
      </w:hyperlink>
    </w:p>
    <w:p w14:paraId="04F76F70"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3-dimensao-governanca-e-risco-score-20" w:history="1">
        <w:r>
          <w:rPr>
            <w:rStyle w:val="Hyperlink"/>
            <w:rFonts w:ascii="Calibri" w:eastAsia="Times New Roman" w:hAnsi="Calibri" w:cs="Calibri"/>
            <w:color w:val="2563EB"/>
            <w:sz w:val="22"/>
            <w:szCs w:val="22"/>
          </w:rPr>
          <w:t>3.3 Dimensão — Governança e Risco — Score 2.02 · Nível 2</w:t>
        </w:r>
      </w:hyperlink>
    </w:p>
    <w:p w14:paraId="237AC3B4"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4-dimensao-pessoas-e-cultura-score-271" w:history="1">
        <w:r>
          <w:rPr>
            <w:rStyle w:val="Hyperlink"/>
            <w:rFonts w:ascii="Calibri" w:eastAsia="Times New Roman" w:hAnsi="Calibri" w:cs="Calibri"/>
            <w:color w:val="2563EB"/>
            <w:sz w:val="22"/>
            <w:szCs w:val="22"/>
          </w:rPr>
          <w:t>3.4 Dimensão — Pessoas e Cultura — Score 2.71 · Nível 3</w:t>
        </w:r>
      </w:hyperlink>
    </w:p>
    <w:p w14:paraId="37B283B8"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5-dimensao-operacoes-e-processos-score" w:history="1">
        <w:r>
          <w:rPr>
            <w:rStyle w:val="Hyperlink"/>
            <w:rFonts w:ascii="Calibri" w:eastAsia="Times New Roman" w:hAnsi="Calibri" w:cs="Calibri"/>
            <w:color w:val="2563EB"/>
            <w:sz w:val="22"/>
            <w:szCs w:val="22"/>
          </w:rPr>
          <w:t>3.5 Dimensão — Operações e Processos — Score 1.98 · Nível 2</w:t>
        </w:r>
      </w:hyperlink>
    </w:p>
    <w:p w14:paraId="5673ED94"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6-dimensao-inovacao-e-experimentacao-s" w:history="1">
        <w:r>
          <w:rPr>
            <w:rStyle w:val="Hyperlink"/>
            <w:rFonts w:ascii="Calibri" w:eastAsia="Times New Roman" w:hAnsi="Calibri" w:cs="Calibri"/>
            <w:color w:val="2563EB"/>
            <w:sz w:val="22"/>
            <w:szCs w:val="22"/>
          </w:rPr>
          <w:t>3.6 Dimensão — Inovação e Experimentação — Score 2.44 · Nível 2</w:t>
        </w:r>
      </w:hyperlink>
    </w:p>
    <w:p w14:paraId="386E2866"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7-dimensao-valor-de-negocio-e-roi-scor" w:history="1">
        <w:r>
          <w:rPr>
            <w:rStyle w:val="Hyperlink"/>
            <w:rFonts w:ascii="Calibri" w:eastAsia="Times New Roman" w:hAnsi="Calibri" w:cs="Calibri"/>
            <w:color w:val="2563EB"/>
            <w:sz w:val="22"/>
            <w:szCs w:val="22"/>
          </w:rPr>
          <w:t>3.7 Dimensão — Valor de Negócio e ROI — Score 2.53 · Nível 3</w:t>
        </w:r>
      </w:hyperlink>
    </w:p>
    <w:p w14:paraId="75109E8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8-dimensao-ecossistema-e-parcerias-sco" w:history="1">
        <w:r>
          <w:rPr>
            <w:rStyle w:val="Hyperlink"/>
            <w:rFonts w:ascii="Calibri" w:eastAsia="Times New Roman" w:hAnsi="Calibri" w:cs="Calibri"/>
            <w:color w:val="2563EB"/>
            <w:sz w:val="22"/>
            <w:szCs w:val="22"/>
          </w:rPr>
          <w:t>3.8 Dimensão — Ecossistema e Parcerias — Score 2.58 · Nível 3</w:t>
        </w:r>
      </w:hyperlink>
    </w:p>
    <w:p w14:paraId="199E9A34"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9-dimensao-valor-por-unidade-de-negoci" w:history="1">
        <w:r>
          <w:rPr>
            <w:rStyle w:val="Hyperlink"/>
            <w:rFonts w:ascii="Calibri" w:eastAsia="Times New Roman" w:hAnsi="Calibri" w:cs="Calibri"/>
            <w:color w:val="2563EB"/>
            <w:sz w:val="22"/>
            <w:szCs w:val="22"/>
          </w:rPr>
          <w:t>3.9 Dimensão — Valor por Unidade de Negócio — Score 2.07 · Nível 2</w:t>
        </w:r>
      </w:hyperlink>
    </w:p>
    <w:p w14:paraId="748E8BCA"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0-dimensao-talentos-e-capacidades-sco" w:history="1">
        <w:r>
          <w:rPr>
            <w:rStyle w:val="Hyperlink"/>
            <w:rFonts w:ascii="Calibri" w:eastAsia="Times New Roman" w:hAnsi="Calibri" w:cs="Calibri"/>
            <w:color w:val="2563EB"/>
            <w:sz w:val="22"/>
            <w:szCs w:val="22"/>
          </w:rPr>
          <w:t>3.10 Dimensão — Talentos e Capacidades — Score 2.10 · Nível 2</w:t>
        </w:r>
      </w:hyperlink>
    </w:p>
    <w:p w14:paraId="1B95A87D"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1-dimensao-conformidade-regulatoria-s" w:history="1">
        <w:r>
          <w:rPr>
            <w:rStyle w:val="Hyperlink"/>
            <w:rFonts w:ascii="Calibri" w:eastAsia="Times New Roman" w:hAnsi="Calibri" w:cs="Calibri"/>
            <w:color w:val="2563EB"/>
            <w:sz w:val="22"/>
            <w:szCs w:val="22"/>
          </w:rPr>
          <w:t>3.11 Dimensão — Conformidade Regulatória — Score 1.58 · Nível 2</w:t>
        </w:r>
      </w:hyperlink>
    </w:p>
    <w:p w14:paraId="576D90A9"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2-dimensao-prontidao-para-mudanca-sco" w:history="1">
        <w:r>
          <w:rPr>
            <w:rStyle w:val="Hyperlink"/>
            <w:rFonts w:ascii="Calibri" w:eastAsia="Times New Roman" w:hAnsi="Calibri" w:cs="Calibri"/>
            <w:color w:val="2563EB"/>
            <w:sz w:val="22"/>
            <w:szCs w:val="22"/>
          </w:rPr>
          <w:t>3.12 Dimensão — Prontidão para Mudança — Score 2.80 · Nível 3</w:t>
        </w:r>
      </w:hyperlink>
    </w:p>
    <w:p w14:paraId="215387A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3-dimensao-ia-como-gerador-de-receita" w:history="1">
        <w:r>
          <w:rPr>
            <w:rStyle w:val="Hyperlink"/>
            <w:rFonts w:ascii="Calibri" w:eastAsia="Times New Roman" w:hAnsi="Calibri" w:cs="Calibri"/>
            <w:color w:val="2563EB"/>
            <w:sz w:val="22"/>
            <w:szCs w:val="22"/>
          </w:rPr>
          <w:t>3.13 Dimensão — IA como Gerador de Receita — Score 2.37 · Nível 2</w:t>
        </w:r>
      </w:hyperlink>
    </w:p>
    <w:p w14:paraId="1C87C67F"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4-dimensao-plataforma-e-industrializa" w:history="1">
        <w:r>
          <w:rPr>
            <w:rStyle w:val="Hyperlink"/>
            <w:rFonts w:ascii="Calibri" w:eastAsia="Times New Roman" w:hAnsi="Calibri" w:cs="Calibri"/>
            <w:color w:val="2563EB"/>
            <w:sz w:val="22"/>
            <w:szCs w:val="22"/>
          </w:rPr>
          <w:t>3.14 Dimensão — Plataforma e Industrialização de IA — Score 2.14 · Nível 2</w:t>
        </w:r>
      </w:hyperlink>
    </w:p>
    <w:p w14:paraId="1FD6ABCA"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5-dimensao-maturidade-por-tipo-de-ia-" w:history="1">
        <w:r>
          <w:rPr>
            <w:rStyle w:val="Hyperlink"/>
            <w:rFonts w:ascii="Calibri" w:eastAsia="Times New Roman" w:hAnsi="Calibri" w:cs="Calibri"/>
            <w:color w:val="2563EB"/>
            <w:sz w:val="22"/>
            <w:szCs w:val="22"/>
          </w:rPr>
          <w:t>3.15 Dimensão — Maturidade por Tipo de IA — Score 2.44 · Nível 2</w:t>
        </w:r>
      </w:hyperlink>
    </w:p>
    <w:p w14:paraId="098919F6"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316-dimensao-eficacia-de-ia-mit-cisr-sc" w:history="1">
        <w:r>
          <w:rPr>
            <w:rStyle w:val="Hyperlink"/>
            <w:rFonts w:ascii="Calibri" w:eastAsia="Times New Roman" w:hAnsi="Calibri" w:cs="Calibri"/>
            <w:color w:val="2563EB"/>
            <w:sz w:val="22"/>
            <w:szCs w:val="22"/>
          </w:rPr>
          <w:t>3.16 Dimensão — Eficácia de IA (MIT CISR) — Score 2.84 · Nível 3</w:t>
        </w:r>
      </w:hyperlink>
    </w:p>
    <w:p w14:paraId="6BB5A0F8"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4-analise-de-gaps-prioritarios" w:history="1">
        <w:r>
          <w:rPr>
            <w:rStyle w:val="Hyperlink"/>
            <w:rFonts w:ascii="Calibri" w:eastAsia="Times New Roman" w:hAnsi="Calibri" w:cs="Calibri"/>
            <w:color w:val="2563EB"/>
            <w:sz w:val="22"/>
            <w:szCs w:val="22"/>
          </w:rPr>
          <w:t>4. ANÁLISE DE GAPS PRIORITÁRIOS</w:t>
        </w:r>
      </w:hyperlink>
    </w:p>
    <w:p w14:paraId="31ED498C"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tabela-de-top-5-gaps-criticos" w:history="1">
        <w:r>
          <w:rPr>
            <w:rStyle w:val="Hyperlink"/>
            <w:rFonts w:ascii="Calibri" w:eastAsia="Times New Roman" w:hAnsi="Calibri" w:cs="Calibri"/>
            <w:color w:val="2563EB"/>
            <w:sz w:val="22"/>
            <w:szCs w:val="22"/>
          </w:rPr>
          <w:t>Tabela de Top 5 Gaps Críticos</w:t>
        </w:r>
      </w:hyperlink>
    </w:p>
    <w:p w14:paraId="772B58A5"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cadeia-de-valor-bloqueada-por-gap" w:history="1">
        <w:r>
          <w:rPr>
            <w:rStyle w:val="Hyperlink"/>
            <w:rFonts w:ascii="Calibri" w:eastAsia="Times New Roman" w:hAnsi="Calibri" w:cs="Calibri"/>
            <w:color w:val="2563EB"/>
            <w:sz w:val="22"/>
            <w:szCs w:val="22"/>
          </w:rPr>
          <w:t>Cadeia de Valor Bloqueada por Gap</w:t>
        </w:r>
      </w:hyperlink>
    </w:p>
    <w:p w14:paraId="54F4BB82"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5-alavancagem-de-pontos-fortes" w:history="1">
        <w:r>
          <w:rPr>
            <w:rStyle w:val="Hyperlink"/>
            <w:rFonts w:ascii="Calibri" w:eastAsia="Times New Roman" w:hAnsi="Calibri" w:cs="Calibri"/>
            <w:color w:val="2563EB"/>
            <w:sz w:val="22"/>
            <w:szCs w:val="22"/>
          </w:rPr>
          <w:t>5. ALAVANCAGEM DE PONTOS FORTES</w:t>
        </w:r>
      </w:hyperlink>
    </w:p>
    <w:p w14:paraId="4BCA56F2"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tabela-de-top-5-forcas" w:history="1">
        <w:r>
          <w:rPr>
            <w:rStyle w:val="Hyperlink"/>
            <w:rFonts w:ascii="Calibri" w:eastAsia="Times New Roman" w:hAnsi="Calibri" w:cs="Calibri"/>
            <w:color w:val="2563EB"/>
            <w:sz w:val="22"/>
            <w:szCs w:val="22"/>
          </w:rPr>
          <w:t>Tabela de Top 5 Forças</w:t>
        </w:r>
      </w:hyperlink>
    </w:p>
    <w:p w14:paraId="2C767142"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stack-de-vantagem-competitiva" w:history="1">
        <w:r>
          <w:rPr>
            <w:rStyle w:val="Hyperlink"/>
            <w:rFonts w:ascii="Calibri" w:eastAsia="Times New Roman" w:hAnsi="Calibri" w:cs="Calibri"/>
            <w:color w:val="2563EB"/>
            <w:sz w:val="22"/>
            <w:szCs w:val="22"/>
          </w:rPr>
          <w:t>Stack de Vantagem Competitiva</w:t>
        </w:r>
      </w:hyperlink>
    </w:p>
    <w:p w14:paraId="56E3C7AB"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6-roadmap-de-transformacao-12-meses" w:history="1">
        <w:r>
          <w:rPr>
            <w:rStyle w:val="Hyperlink"/>
            <w:rFonts w:ascii="Calibri" w:eastAsia="Times New Roman" w:hAnsi="Calibri" w:cs="Calibri"/>
            <w:color w:val="2563EB"/>
            <w:sz w:val="22"/>
            <w:szCs w:val="22"/>
          </w:rPr>
          <w:t>6. ROADMAP DE TRANSFORMAÇÃO (12 MESES)</w:t>
        </w:r>
      </w:hyperlink>
    </w:p>
    <w:p w14:paraId="7B6FCB0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fase-1-fundacao-meses-13" w:history="1">
        <w:r>
          <w:rPr>
            <w:rStyle w:val="Hyperlink"/>
            <w:rFonts w:ascii="Calibri" w:eastAsia="Times New Roman" w:hAnsi="Calibri" w:cs="Calibri"/>
            <w:color w:val="2563EB"/>
            <w:sz w:val="22"/>
            <w:szCs w:val="22"/>
          </w:rPr>
          <w:t>Fase 1 — Fundação (Meses 1–3)</w:t>
        </w:r>
      </w:hyperlink>
    </w:p>
    <w:p w14:paraId="0ACCB891"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fase-2-pilotos-meses-46" w:history="1">
        <w:r>
          <w:rPr>
            <w:rStyle w:val="Hyperlink"/>
            <w:rFonts w:ascii="Calibri" w:eastAsia="Times New Roman" w:hAnsi="Calibri" w:cs="Calibri"/>
            <w:color w:val="2563EB"/>
            <w:sz w:val="22"/>
            <w:szCs w:val="22"/>
          </w:rPr>
          <w:t>Fase 2 — Pilotos (Meses 4–6)</w:t>
        </w:r>
      </w:hyperlink>
    </w:p>
    <w:p w14:paraId="6AD1513D"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fase-3-escala-meses-79" w:history="1">
        <w:r>
          <w:rPr>
            <w:rStyle w:val="Hyperlink"/>
            <w:rFonts w:ascii="Calibri" w:eastAsia="Times New Roman" w:hAnsi="Calibri" w:cs="Calibri"/>
            <w:color w:val="2563EB"/>
            <w:sz w:val="22"/>
            <w:szCs w:val="22"/>
          </w:rPr>
          <w:t>Fase 3 — Escala (Meses 7–9)</w:t>
        </w:r>
      </w:hyperlink>
    </w:p>
    <w:p w14:paraId="7B2684B2"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fase-4-industrializacao-inovacao-meses-" w:history="1">
        <w:r>
          <w:rPr>
            <w:rStyle w:val="Hyperlink"/>
            <w:rFonts w:ascii="Calibri" w:eastAsia="Times New Roman" w:hAnsi="Calibri" w:cs="Calibri"/>
            <w:color w:val="2563EB"/>
            <w:sz w:val="22"/>
            <w:szCs w:val="22"/>
          </w:rPr>
          <w:t>Fase 4 — Industrialização &amp; Inovação (Meses 10–12)</w:t>
        </w:r>
      </w:hyperlink>
    </w:p>
    <w:p w14:paraId="0FBDA451"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tabela-raci-consolidada-iniciativas-cha" w:history="1">
        <w:r>
          <w:rPr>
            <w:rStyle w:val="Hyperlink"/>
            <w:rFonts w:ascii="Calibri" w:eastAsia="Times New Roman" w:hAnsi="Calibri" w:cs="Calibri"/>
            <w:color w:val="2563EB"/>
            <w:sz w:val="22"/>
            <w:szCs w:val="22"/>
          </w:rPr>
          <w:t>Tabela RACI Consolidada — Iniciativas-Chave (12 Meses)</w:t>
        </w:r>
      </w:hyperlink>
    </w:p>
    <w:p w14:paraId="79557071"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7-matriz-de-dependencias-e-sequencia" w:history="1">
        <w:r>
          <w:rPr>
            <w:rStyle w:val="Hyperlink"/>
            <w:rFonts w:ascii="Calibri" w:eastAsia="Times New Roman" w:hAnsi="Calibri" w:cs="Calibri"/>
            <w:color w:val="2563EB"/>
            <w:sz w:val="22"/>
            <w:szCs w:val="22"/>
          </w:rPr>
          <w:t>7. MATRIZ DE DEPENDÊNCIAS E SEQUÊNCIA</w:t>
        </w:r>
      </w:hyperlink>
    </w:p>
    <w:p w14:paraId="5DC7A805"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tabela-de-dependencias-entre-iniciativa" w:history="1">
        <w:r>
          <w:rPr>
            <w:rStyle w:val="Hyperlink"/>
            <w:rFonts w:ascii="Calibri" w:eastAsia="Times New Roman" w:hAnsi="Calibri" w:cs="Calibri"/>
            <w:color w:val="2563EB"/>
            <w:sz w:val="22"/>
            <w:szCs w:val="22"/>
          </w:rPr>
          <w:t>Tabela de Dependências entre Iniciativas</w:t>
        </w:r>
      </w:hyperlink>
    </w:p>
    <w:p w14:paraId="4F85A32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caminho-critico" w:history="1">
        <w:r>
          <w:rPr>
            <w:rStyle w:val="Hyperlink"/>
            <w:rFonts w:ascii="Calibri" w:eastAsia="Times New Roman" w:hAnsi="Calibri" w:cs="Calibri"/>
            <w:color w:val="2563EB"/>
            <w:sz w:val="22"/>
            <w:szCs w:val="22"/>
          </w:rPr>
          <w:t>Caminho Crítico</w:t>
        </w:r>
      </w:hyperlink>
    </w:p>
    <w:p w14:paraId="54D0F91E"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8-projecao-de-impacto-financeiro" w:history="1">
        <w:r>
          <w:rPr>
            <w:rStyle w:val="Hyperlink"/>
            <w:rFonts w:ascii="Calibri" w:eastAsia="Times New Roman" w:hAnsi="Calibri" w:cs="Calibri"/>
            <w:color w:val="2563EB"/>
            <w:sz w:val="22"/>
            <w:szCs w:val="22"/>
          </w:rPr>
          <w:t>8. PROJEÇÃO DE IMPACTO FINANCEIRO</w:t>
        </w:r>
      </w:hyperlink>
    </w:p>
    <w:p w14:paraId="6FF1C79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81-trajetoria-mit-por-nivel" w:history="1">
        <w:r>
          <w:rPr>
            <w:rStyle w:val="Hyperlink"/>
            <w:rFonts w:ascii="Calibri" w:eastAsia="Times New Roman" w:hAnsi="Calibri" w:cs="Calibri"/>
            <w:color w:val="2563EB"/>
            <w:sz w:val="22"/>
            <w:szCs w:val="22"/>
          </w:rPr>
          <w:t>8.1 Trajetória MIT por Nível</w:t>
        </w:r>
      </w:hyperlink>
    </w:p>
    <w:p w14:paraId="2982E7F0"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82-cenarios-de-12-meses" w:history="1">
        <w:r>
          <w:rPr>
            <w:rStyle w:val="Hyperlink"/>
            <w:rFonts w:ascii="Calibri" w:eastAsia="Times New Roman" w:hAnsi="Calibri" w:cs="Calibri"/>
            <w:color w:val="2563EB"/>
            <w:sz w:val="22"/>
            <w:szCs w:val="22"/>
          </w:rPr>
          <w:t>8.2 Cenários de 12 Meses</w:t>
        </w:r>
      </w:hyperlink>
    </w:p>
    <w:p w14:paraId="1E08B43D"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83-longo-prazo-35-anos" w:history="1">
        <w:r>
          <w:rPr>
            <w:rStyle w:val="Hyperlink"/>
            <w:rFonts w:ascii="Calibri" w:eastAsia="Times New Roman" w:hAnsi="Calibri" w:cs="Calibri"/>
            <w:color w:val="2563EB"/>
            <w:sz w:val="22"/>
            <w:szCs w:val="22"/>
          </w:rPr>
          <w:t>8.3 Longo Prazo (3–5 Anos)</w:t>
        </w:r>
      </w:hyperlink>
    </w:p>
    <w:p w14:paraId="4EF737AA"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9-governanca-e-estrutura-recomendada" w:history="1">
        <w:r>
          <w:rPr>
            <w:rStyle w:val="Hyperlink"/>
            <w:rFonts w:ascii="Calibri" w:eastAsia="Times New Roman" w:hAnsi="Calibri" w:cs="Calibri"/>
            <w:color w:val="2563EB"/>
            <w:sz w:val="22"/>
            <w:szCs w:val="22"/>
          </w:rPr>
          <w:t>9. GOVERNANÇA E ESTRUTURA RECOMENDADA</w:t>
        </w:r>
      </w:hyperlink>
    </w:p>
    <w:p w14:paraId="7D1F54BD"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91-estrutura-organizacional" w:history="1">
        <w:r>
          <w:rPr>
            <w:rStyle w:val="Hyperlink"/>
            <w:rFonts w:ascii="Calibri" w:eastAsia="Times New Roman" w:hAnsi="Calibri" w:cs="Calibri"/>
            <w:color w:val="2563EB"/>
            <w:sz w:val="22"/>
            <w:szCs w:val="22"/>
          </w:rPr>
          <w:t>9.1 Estrutura Organizacional</w:t>
        </w:r>
      </w:hyperlink>
    </w:p>
    <w:p w14:paraId="3602CAA6"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92-modelo-de-operacao" w:history="1">
        <w:r>
          <w:rPr>
            <w:rStyle w:val="Hyperlink"/>
            <w:rFonts w:ascii="Calibri" w:eastAsia="Times New Roman" w:hAnsi="Calibri" w:cs="Calibri"/>
            <w:color w:val="2563EB"/>
            <w:sz w:val="22"/>
            <w:szCs w:val="22"/>
          </w:rPr>
          <w:t>9.2 Modelo de Operação</w:t>
        </w:r>
      </w:hyperlink>
    </w:p>
    <w:p w14:paraId="2425230A"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93-politicas-minimas" w:history="1">
        <w:r>
          <w:rPr>
            <w:rStyle w:val="Hyperlink"/>
            <w:rFonts w:ascii="Calibri" w:eastAsia="Times New Roman" w:hAnsi="Calibri" w:cs="Calibri"/>
            <w:color w:val="2563EB"/>
            <w:sz w:val="22"/>
            <w:szCs w:val="22"/>
          </w:rPr>
          <w:t>9.3 Políticas Mínimas</w:t>
        </w:r>
      </w:hyperlink>
    </w:p>
    <w:p w14:paraId="3FBDFD3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0-riscos-e-mitigacoes" w:history="1">
        <w:r>
          <w:rPr>
            <w:rStyle w:val="Hyperlink"/>
            <w:rFonts w:ascii="Calibri" w:eastAsia="Times New Roman" w:hAnsi="Calibri" w:cs="Calibri"/>
            <w:color w:val="2563EB"/>
            <w:sz w:val="22"/>
            <w:szCs w:val="22"/>
          </w:rPr>
          <w:t>10. RISCOS E MITIGAÇÕES</w:t>
        </w:r>
      </w:hyperlink>
    </w:p>
    <w:p w14:paraId="76A804DD"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1-kpis-estrategicos-dashboard-executiv" w:history="1">
        <w:r>
          <w:rPr>
            <w:rStyle w:val="Hyperlink"/>
            <w:rFonts w:ascii="Calibri" w:eastAsia="Times New Roman" w:hAnsi="Calibri" w:cs="Calibri"/>
            <w:color w:val="2563EB"/>
            <w:sz w:val="22"/>
            <w:szCs w:val="22"/>
          </w:rPr>
          <w:t>11. KPIs ESTRATÉGICOS (DASHBOARD EXECUTIVO)</w:t>
        </w:r>
      </w:hyperlink>
    </w:p>
    <w:p w14:paraId="26CF82FB"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11-kpis-de-negocio" w:history="1">
        <w:r>
          <w:rPr>
            <w:rStyle w:val="Hyperlink"/>
            <w:rFonts w:ascii="Calibri" w:eastAsia="Times New Roman" w:hAnsi="Calibri" w:cs="Calibri"/>
            <w:color w:val="2563EB"/>
            <w:sz w:val="22"/>
            <w:szCs w:val="22"/>
          </w:rPr>
          <w:t>11.1 KPIs de Negócio</w:t>
        </w:r>
      </w:hyperlink>
    </w:p>
    <w:p w14:paraId="01E091DB"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12-kpis-tecnicos-dora-mlops" w:history="1">
        <w:r>
          <w:rPr>
            <w:rStyle w:val="Hyperlink"/>
            <w:rFonts w:ascii="Calibri" w:eastAsia="Times New Roman" w:hAnsi="Calibri" w:cs="Calibri"/>
            <w:color w:val="2563EB"/>
            <w:sz w:val="22"/>
            <w:szCs w:val="22"/>
          </w:rPr>
          <w:t>11.2 KPIs Técnicos (DORA + MLOps)</w:t>
        </w:r>
      </w:hyperlink>
    </w:p>
    <w:p w14:paraId="1F483AA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13-kpis-financeiros-finops" w:history="1">
        <w:r>
          <w:rPr>
            <w:rStyle w:val="Hyperlink"/>
            <w:rFonts w:ascii="Calibri" w:eastAsia="Times New Roman" w:hAnsi="Calibri" w:cs="Calibri"/>
            <w:color w:val="2563EB"/>
            <w:sz w:val="22"/>
            <w:szCs w:val="22"/>
          </w:rPr>
          <w:t>11.3 KPIs Financeiros (FinOps)</w:t>
        </w:r>
      </w:hyperlink>
    </w:p>
    <w:p w14:paraId="30FEE613"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14-kpis-de-pessoas" w:history="1">
        <w:r>
          <w:rPr>
            <w:rStyle w:val="Hyperlink"/>
            <w:rFonts w:ascii="Calibri" w:eastAsia="Times New Roman" w:hAnsi="Calibri" w:cs="Calibri"/>
            <w:color w:val="2563EB"/>
            <w:sz w:val="22"/>
            <w:szCs w:val="22"/>
          </w:rPr>
          <w:t>11.4 KPIs de Pessoas</w:t>
        </w:r>
      </w:hyperlink>
    </w:p>
    <w:p w14:paraId="3DCD235F"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2-apendices" w:history="1">
        <w:r>
          <w:rPr>
            <w:rStyle w:val="Hyperlink"/>
            <w:rFonts w:ascii="Calibri" w:eastAsia="Times New Roman" w:hAnsi="Calibri" w:cs="Calibri"/>
            <w:color w:val="2563EB"/>
            <w:sz w:val="22"/>
            <w:szCs w:val="22"/>
          </w:rPr>
          <w:t>12. APÊNDICES</w:t>
        </w:r>
      </w:hyperlink>
    </w:p>
    <w:p w14:paraId="01D2BD65"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apendice-a-glossario-de-termos" w:history="1">
        <w:r>
          <w:rPr>
            <w:rStyle w:val="Hyperlink"/>
            <w:rFonts w:ascii="Calibri" w:eastAsia="Times New Roman" w:hAnsi="Calibri" w:cs="Calibri"/>
            <w:color w:val="2563EB"/>
            <w:sz w:val="22"/>
            <w:szCs w:val="22"/>
          </w:rPr>
          <w:t>Apêndice A — Glossário de Termos</w:t>
        </w:r>
      </w:hyperlink>
    </w:p>
    <w:p w14:paraId="0CB882EB"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apendice-b-frameworks-de-referencia" w:history="1">
        <w:r>
          <w:rPr>
            <w:rStyle w:val="Hyperlink"/>
            <w:rFonts w:ascii="Calibri" w:eastAsia="Times New Roman" w:hAnsi="Calibri" w:cs="Calibri"/>
            <w:color w:val="2563EB"/>
            <w:sz w:val="22"/>
            <w:szCs w:val="22"/>
          </w:rPr>
          <w:t>Apêndice B — Frameworks de Referência</w:t>
        </w:r>
      </w:hyperlink>
    </w:p>
    <w:p w14:paraId="1D831FD5"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apendice-c-detalhamento-dos-scores-por-" w:history="1">
        <w:r>
          <w:rPr>
            <w:rStyle w:val="Hyperlink"/>
            <w:rFonts w:ascii="Calibri" w:eastAsia="Times New Roman" w:hAnsi="Calibri" w:cs="Calibri"/>
            <w:color w:val="2563EB"/>
            <w:sz w:val="22"/>
            <w:szCs w:val="22"/>
          </w:rPr>
          <w:t>Apêndice C — Detalhamento dos Scores por Pergunta</w:t>
        </w:r>
      </w:hyperlink>
    </w:p>
    <w:p w14:paraId="4A68EA29"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apendice-d-bibliografia-e-proximas-leit" w:history="1">
        <w:r>
          <w:rPr>
            <w:rStyle w:val="Hyperlink"/>
            <w:rFonts w:ascii="Calibri" w:eastAsia="Times New Roman" w:hAnsi="Calibri" w:cs="Calibri"/>
            <w:color w:val="2563EB"/>
            <w:sz w:val="22"/>
            <w:szCs w:val="22"/>
          </w:rPr>
          <w:t>Apêndice D — Bibliografia e Próximas Leituras Recomendadas</w:t>
        </w:r>
      </w:hyperlink>
    </w:p>
    <w:p w14:paraId="35EC15E7"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3-proximos-passos-imediatos-30-dias" w:history="1">
        <w:r>
          <w:rPr>
            <w:rStyle w:val="Hyperlink"/>
            <w:rFonts w:ascii="Calibri" w:eastAsia="Times New Roman" w:hAnsi="Calibri" w:cs="Calibri"/>
            <w:color w:val="2563EB"/>
            <w:sz w:val="22"/>
            <w:szCs w:val="22"/>
          </w:rPr>
          <w:t>13. PRÓXIMOS PASSOS IMEDIATOS (30 DIAS)</w:t>
        </w:r>
      </w:hyperlink>
    </w:p>
    <w:p w14:paraId="3D110979"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31-acoes-prioritarias" w:history="1">
        <w:r>
          <w:rPr>
            <w:rStyle w:val="Hyperlink"/>
            <w:rFonts w:ascii="Calibri" w:eastAsia="Times New Roman" w:hAnsi="Calibri" w:cs="Calibri"/>
            <w:color w:val="2563EB"/>
            <w:sz w:val="22"/>
            <w:szCs w:val="22"/>
          </w:rPr>
          <w:t>13.1 Ações prioritárias</w:t>
        </w:r>
      </w:hyperlink>
    </w:p>
    <w:p w14:paraId="51A53688" w14:textId="77777777" w:rsidR="00000000" w:rsidRDefault="00000000">
      <w:pPr>
        <w:numPr>
          <w:ilvl w:val="0"/>
          <w:numId w:val="1"/>
        </w:numPr>
        <w:spacing w:after="80"/>
        <w:ind w:left="1200"/>
        <w:rPr>
          <w:rFonts w:ascii="Calibri" w:eastAsia="Times New Roman" w:hAnsi="Calibri" w:cs="Calibri"/>
          <w:color w:val="1E293B"/>
          <w:sz w:val="22"/>
          <w:szCs w:val="22"/>
        </w:rPr>
      </w:pPr>
      <w:hyperlink w:anchor="132-alinhamento-ao-proximo-nivel-mit" w:history="1">
        <w:r>
          <w:rPr>
            <w:rStyle w:val="Hyperlink"/>
            <w:rFonts w:ascii="Calibri" w:eastAsia="Times New Roman" w:hAnsi="Calibri" w:cs="Calibri"/>
            <w:color w:val="2563EB"/>
            <w:sz w:val="22"/>
            <w:szCs w:val="22"/>
          </w:rPr>
          <w:t>13.2 Alinhamento ao próximo nível MIT</w:t>
        </w:r>
      </w:hyperlink>
    </w:p>
    <w:p w14:paraId="4A29D58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20641AF">
          <v:rect id="_x0000_i1159" alt="" style="width:425.2pt;height:.05pt;mso-width-percent:0;mso-height-percent:0;mso-width-percent:0;mso-height-percent:0" o:hralign="center" o:hrstd="t" o:hr="t" fillcolor="#a0a0a0" stroked="f"/>
        </w:pict>
      </w:r>
    </w:p>
    <w:p w14:paraId="41F05E06"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1. METODOLOGIA APLICADA</w:t>
      </w:r>
    </w:p>
    <w:p w14:paraId="3D53F3CE"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Referencial Teórico: MIT CISR Enterprise AI Maturity Model</w:t>
      </w:r>
    </w:p>
    <w:p w14:paraId="58BD07B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Este book de trabalho adota como referencial primário o </w:t>
      </w:r>
      <w:r>
        <w:rPr>
          <w:rStyle w:val="Forte"/>
          <w:rFonts w:ascii="Calibri" w:hAnsi="Calibri" w:cs="Calibri"/>
          <w:color w:val="1E293B"/>
          <w:sz w:val="22"/>
          <w:szCs w:val="22"/>
        </w:rPr>
        <w:t>Enterprise AI Maturity Model</w:t>
      </w:r>
      <w:r>
        <w:rPr>
          <w:rFonts w:ascii="Calibri" w:hAnsi="Calibri" w:cs="Calibri"/>
          <w:color w:val="1E293B"/>
          <w:sz w:val="22"/>
          <w:szCs w:val="22"/>
        </w:rPr>
        <w:t xml:space="preserve"> do MIT Center for Information Systems Research (MIT CISR), conforme publicado nos Research Briefings </w:t>
      </w:r>
      <w:r>
        <w:rPr>
          <w:rStyle w:val="nfase"/>
          <w:rFonts w:ascii="Calibri" w:hAnsi="Calibri" w:cs="Calibri"/>
          <w:color w:val="1E293B"/>
          <w:sz w:val="22"/>
          <w:szCs w:val="22"/>
        </w:rPr>
        <w:t>"Building Enterprise AI Maturity"</w:t>
      </w:r>
      <w:r>
        <w:rPr>
          <w:rFonts w:ascii="Calibri" w:hAnsi="Calibri" w:cs="Calibri"/>
          <w:color w:val="1E293B"/>
          <w:sz w:val="22"/>
          <w:szCs w:val="22"/>
        </w:rPr>
        <w:t xml:space="preserve"> (2024) e </w:t>
      </w:r>
      <w:r>
        <w:rPr>
          <w:rStyle w:val="nfase"/>
          <w:rFonts w:ascii="Calibri" w:hAnsi="Calibri" w:cs="Calibri"/>
          <w:color w:val="1E293B"/>
          <w:sz w:val="22"/>
          <w:szCs w:val="22"/>
        </w:rPr>
        <w:t>"Grow Enterprise AI Maturity…"</w:t>
      </w:r>
      <w:r>
        <w:rPr>
          <w:rFonts w:ascii="Calibri" w:hAnsi="Calibri" w:cs="Calibri"/>
          <w:color w:val="1E293B"/>
          <w:sz w:val="22"/>
          <w:szCs w:val="22"/>
        </w:rPr>
        <w:t xml:space="preserve"> (2025). O modelo descreve a jornada organizacional em </w:t>
      </w:r>
      <w:r>
        <w:rPr>
          <w:rStyle w:val="Forte"/>
          <w:rFonts w:ascii="Calibri" w:hAnsi="Calibri" w:cs="Calibri"/>
          <w:color w:val="1E293B"/>
          <w:sz w:val="22"/>
          <w:szCs w:val="22"/>
        </w:rPr>
        <w:t>quatro estágios</w:t>
      </w:r>
      <w:r>
        <w:rPr>
          <w:rFonts w:ascii="Calibri" w:hAnsi="Calibri" w:cs="Calibri"/>
          <w:color w:val="1E293B"/>
          <w:sz w:val="22"/>
          <w:szCs w:val="22"/>
        </w:rPr>
        <w:t xml:space="preserve"> qualitativos, aqui apresentados com sua equivalência à escala numérica SysMap Blueprint IA (1,0–5,0):</w:t>
      </w:r>
    </w:p>
    <w:tbl>
      <w:tblPr>
        <w:tblW w:w="5000" w:type="pct"/>
        <w:tblCellMar>
          <w:top w:w="15" w:type="dxa"/>
          <w:left w:w="15" w:type="dxa"/>
          <w:bottom w:w="15" w:type="dxa"/>
          <w:right w:w="15" w:type="dxa"/>
        </w:tblCellMar>
        <w:tblLook w:val="04A0" w:firstRow="1" w:lastRow="0" w:firstColumn="1" w:lastColumn="0" w:noHBand="0" w:noVBand="1"/>
      </w:tblPr>
      <w:tblGrid>
        <w:gridCol w:w="1135"/>
        <w:gridCol w:w="1608"/>
        <w:gridCol w:w="4527"/>
        <w:gridCol w:w="1218"/>
      </w:tblGrid>
      <w:tr w:rsidR="00000000" w14:paraId="476BAB27" w14:textId="77777777">
        <w:trPr>
          <w:divId w:val="1268928669"/>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6DCF3A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Estágio MIT CISR</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57D470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Nome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219E7A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Descrição Sintética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6D9AA6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Faixa Score SysMap</w:t>
            </w:r>
          </w:p>
        </w:tc>
      </w:tr>
      <w:tr w:rsidR="00000000" w14:paraId="05079374" w14:textId="77777777">
        <w:trPr>
          <w:divId w:val="12689286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91E0A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64D05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Experiment and Prepare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99A949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organização realiza experimentos isolados de IA sem estratégia coordenada; infraestrutura e governança são incipientes; o valor gerado é pontual e não replicável.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435B0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 1,9</w:t>
            </w:r>
          </w:p>
        </w:tc>
      </w:tr>
      <w:tr w:rsidR="00000000" w14:paraId="66728203" w14:textId="77777777">
        <w:trPr>
          <w:divId w:val="126892866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EB08B4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DCF1B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Build Pilots and Capabilities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321D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Pilotos estruturados começam a surgir em áreas prioritárias; capacidades de dados, talentos e plataforma estão sendo construídas, mas ainda de forma fragmentada e dependente de esforços individuais.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A2826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 – 2,9</w:t>
            </w:r>
          </w:p>
        </w:tc>
      </w:tr>
      <w:tr w:rsidR="00000000" w14:paraId="17DB8B02" w14:textId="77777777">
        <w:trPr>
          <w:divId w:val="12689286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1F294F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248B1F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Develop AI Ways of Working</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DF8D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IA passa a ser integrada aos processos de negócio de forma sistemática; práticas de MLOps, governança e gestão de valor são institucionalizadas; a organização desenvolve uma "forma de trabalhar com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03C642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3,0 – 3,9</w:t>
            </w:r>
          </w:p>
        </w:tc>
      </w:tr>
      <w:tr w:rsidR="00000000" w14:paraId="5FEFE3C9" w14:textId="77777777">
        <w:trPr>
          <w:divId w:val="126892866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7086D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F1F25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Become AI Future Ready</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EC018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IA está embutida na estratégia corporativa, nos produtos e no ecossistema; a organização opera com plataformas industrializadas, gera receita com IA e reavalia continuamente seu modelo de negócio à luz das capacidades de IA disponíveis.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044C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 – 5,0</w:t>
            </w:r>
          </w:p>
        </w:tc>
      </w:tr>
    </w:tbl>
    <w:p w14:paraId="1102909B" w14:textId="77777777" w:rsidR="00000000" w:rsidRDefault="00000000">
      <w:pPr>
        <w:pStyle w:val="NormalWeb"/>
        <w:shd w:val="clear" w:color="auto" w:fill="FAF5FF"/>
        <w:spacing w:before="0" w:beforeAutospacing="0" w:after="120" w:afterAutospacing="0"/>
        <w:divId w:val="743066948"/>
        <w:rPr>
          <w:rFonts w:ascii="Calibri" w:hAnsi="Calibri" w:cs="Calibri"/>
          <w:i/>
          <w:iCs/>
          <w:color w:val="581C87"/>
          <w:sz w:val="22"/>
          <w:szCs w:val="22"/>
        </w:rPr>
      </w:pPr>
      <w:r>
        <w:rPr>
          <w:rStyle w:val="Forte"/>
          <w:rFonts w:ascii="Calibri" w:hAnsi="Calibri" w:cs="Calibri"/>
          <w:i/>
          <w:iCs/>
          <w:color w:val="581C87"/>
          <w:sz w:val="22"/>
          <w:szCs w:val="22"/>
        </w:rPr>
        <w:t>Nota de autoria:</w:t>
      </w:r>
      <w:r>
        <w:rPr>
          <w:rFonts w:ascii="Calibri" w:hAnsi="Calibri" w:cs="Calibri"/>
          <w:i/>
          <w:iCs/>
          <w:color w:val="581C87"/>
          <w:sz w:val="22"/>
          <w:szCs w:val="22"/>
        </w:rPr>
        <w:t xml:space="preserve"> o score numérico (escala 1,0–5,0 por dimensão) é uma </w:t>
      </w:r>
      <w:r>
        <w:rPr>
          <w:rStyle w:val="Forte"/>
          <w:rFonts w:ascii="Calibri" w:hAnsi="Calibri" w:cs="Calibri"/>
          <w:i/>
          <w:iCs/>
          <w:color w:val="581C87"/>
          <w:sz w:val="22"/>
          <w:szCs w:val="22"/>
        </w:rPr>
        <w:t>adaptação SysMap Blueprint IA</w:t>
      </w:r>
      <w:r>
        <w:rPr>
          <w:rFonts w:ascii="Calibri" w:hAnsi="Calibri" w:cs="Calibri"/>
          <w:i/>
          <w:iCs/>
          <w:color w:val="581C87"/>
          <w:sz w:val="22"/>
          <w:szCs w:val="22"/>
        </w:rPr>
        <w:t xml:space="preserve"> do framework MIT CISR. O MIT CISR não gerou nem validou automaticamente este relatório; os dados quantitativos são produto do assessment aplicado pela Empresa Teste Maturidade IA.</w:t>
      </w:r>
    </w:p>
    <w:p w14:paraId="2A72441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02649A6">
          <v:rect id="_x0000_i1158" alt="" style="width:425.2pt;height:.05pt;mso-width-percent:0;mso-height-percent:0;mso-width-percent:0;mso-height-percent:0" o:hralign="center" o:hrstd="t" o:hr="t" fillcolor="#a0a0a0" stroked="f"/>
        </w:pict>
      </w:r>
    </w:p>
    <w:p w14:paraId="7CAA8ED3"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Critérios de Avaliação Utilizados</w:t>
      </w:r>
    </w:p>
    <w:p w14:paraId="3636338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assessment foi estruturado em </w:t>
      </w:r>
      <w:r>
        <w:rPr>
          <w:rStyle w:val="Forte"/>
          <w:rFonts w:ascii="Calibri" w:hAnsi="Calibri" w:cs="Calibri"/>
          <w:color w:val="1E293B"/>
          <w:sz w:val="22"/>
          <w:szCs w:val="22"/>
        </w:rPr>
        <w:t>16 dimensões</w:t>
      </w:r>
      <w:r>
        <w:rPr>
          <w:rFonts w:ascii="Calibri" w:hAnsi="Calibri" w:cs="Calibri"/>
          <w:color w:val="1E293B"/>
          <w:sz w:val="22"/>
          <w:szCs w:val="22"/>
        </w:rPr>
        <w:t xml:space="preserve"> que cobrem os vetores estratégicos, operacionais, tecnológicos, regulatórios e culturais da adoção de IA empresarial. Para cada dimensão, foram aplicadas de 6 a 8 perguntas com escala Likert (1 = ausência total de prática; 5 = prática exemplar e referência de mercado).</w:t>
      </w:r>
    </w:p>
    <w:p w14:paraId="5862C9A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Lógica de agregação:</w:t>
      </w:r>
    </w:p>
    <w:p w14:paraId="60DE29A9" w14:textId="77777777" w:rsidR="00000000" w:rsidRDefault="00000000">
      <w:pPr>
        <w:numPr>
          <w:ilvl w:val="0"/>
          <w:numId w:val="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Score por dimensão</w:t>
      </w:r>
      <w:r>
        <w:rPr>
          <w:rFonts w:ascii="Calibri" w:eastAsia="Times New Roman" w:hAnsi="Calibri" w:cs="Calibri"/>
          <w:color w:val="1E293B"/>
          <w:sz w:val="22"/>
          <w:szCs w:val="22"/>
        </w:rPr>
        <w:t xml:space="preserve"> = média aritmética das respostas de todos os avaliadores incluídos no filtro de prioridade, para cada pergunta; depois média entre as perguntas da dimensão.</w:t>
      </w:r>
    </w:p>
    <w:p w14:paraId="45F1221E" w14:textId="77777777" w:rsidR="00000000" w:rsidRDefault="00000000">
      <w:pPr>
        <w:numPr>
          <w:ilvl w:val="0"/>
          <w:numId w:val="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Score geral</w:t>
      </w:r>
      <w:r>
        <w:rPr>
          <w:rFonts w:ascii="Calibri" w:eastAsia="Times New Roman" w:hAnsi="Calibri" w:cs="Calibri"/>
          <w:color w:val="1E293B"/>
          <w:sz w:val="22"/>
          <w:szCs w:val="22"/>
        </w:rPr>
        <w:t xml:space="preserve"> = média simples entre os scores das 16 dimensões respondidas.</w:t>
      </w:r>
    </w:p>
    <w:p w14:paraId="4EB6BE0D" w14:textId="77777777" w:rsidR="00000000" w:rsidRDefault="00000000">
      <w:pPr>
        <w:numPr>
          <w:ilvl w:val="0"/>
          <w:numId w:val="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Nível por dimensão</w:t>
      </w:r>
      <w:r>
        <w:rPr>
          <w:rFonts w:ascii="Calibri" w:eastAsia="Times New Roman" w:hAnsi="Calibri" w:cs="Calibri"/>
          <w:color w:val="1E293B"/>
          <w:sz w:val="22"/>
          <w:szCs w:val="22"/>
        </w:rPr>
        <w:t xml:space="preserve"> = mapeamento do score numérico à faixa equivalente do estágio MIT CISR (tabela acima).</w:t>
      </w:r>
    </w:p>
    <w:p w14:paraId="53A5DACE" w14:textId="77777777" w:rsidR="00000000" w:rsidRDefault="00000000">
      <w:pPr>
        <w:numPr>
          <w:ilvl w:val="0"/>
          <w:numId w:val="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Filtro de prioridade aplicado nesta versão:</w:t>
      </w:r>
      <w:r>
        <w:rPr>
          <w:rFonts w:ascii="Calibri" w:eastAsia="Times New Roman" w:hAnsi="Calibri" w:cs="Calibri"/>
          <w:color w:val="1E293B"/>
          <w:sz w:val="22"/>
          <w:szCs w:val="22"/>
        </w:rPr>
        <w:t xml:space="preserve"> apenas avaliadores de </w:t>
      </w:r>
      <w:r>
        <w:rPr>
          <w:rStyle w:val="Forte"/>
          <w:rFonts w:ascii="Calibri" w:eastAsia="Times New Roman" w:hAnsi="Calibri" w:cs="Calibri"/>
          <w:color w:val="1E293B"/>
          <w:sz w:val="22"/>
          <w:szCs w:val="22"/>
        </w:rPr>
        <w:t>prioridade cadastral 1</w:t>
      </w:r>
      <w:r>
        <w:rPr>
          <w:rFonts w:ascii="Calibri" w:eastAsia="Times New Roman" w:hAnsi="Calibri" w:cs="Calibri"/>
          <w:color w:val="1E293B"/>
          <w:sz w:val="22"/>
          <w:szCs w:val="22"/>
        </w:rPr>
        <w:t xml:space="preserve"> (15 respondentes), garantindo que o consolidado reflita a visão dos avaliadores com maior aderência ao perfil de referência definido pelo projeto.</w:t>
      </w:r>
    </w:p>
    <w:p w14:paraId="1CC7E1C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FC65B1E">
          <v:rect id="_x0000_i1157" alt="" style="width:425.2pt;height:.05pt;mso-width-percent:0;mso-height-percent:0;mso-width-percent:0;mso-height-percent:0" o:hralign="center" o:hrstd="t" o:hr="t" fillcolor="#a0a0a0" stroked="f"/>
        </w:pict>
      </w:r>
    </w:p>
    <w:p w14:paraId="3B2CAFE9"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Como Interpretar os Scores e Níveis</w:t>
      </w:r>
    </w:p>
    <w:tbl>
      <w:tblPr>
        <w:tblW w:w="5000" w:type="pct"/>
        <w:tblCellMar>
          <w:top w:w="15" w:type="dxa"/>
          <w:left w:w="15" w:type="dxa"/>
          <w:bottom w:w="15" w:type="dxa"/>
          <w:right w:w="15" w:type="dxa"/>
        </w:tblCellMar>
        <w:tblLook w:val="04A0" w:firstRow="1" w:lastRow="0" w:firstColumn="1" w:lastColumn="0" w:noHBand="0" w:noVBand="1"/>
      </w:tblPr>
      <w:tblGrid>
        <w:gridCol w:w="1037"/>
        <w:gridCol w:w="7451"/>
      </w:tblGrid>
      <w:tr w:rsidR="00000000" w14:paraId="5E526406" w14:textId="77777777">
        <w:trPr>
          <w:divId w:val="991249649"/>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C654EB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Score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589B0D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Interpretação Prática</w:t>
            </w:r>
          </w:p>
        </w:tc>
      </w:tr>
      <w:tr w:rsidR="00000000" w14:paraId="0EF86EC0" w14:textId="77777777">
        <w:trPr>
          <w:divId w:val="99124964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D4294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1,0 – 1,4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4130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Prática inexistente ou embrionária; risco imediato se o tema for crítico para o negócio.</w:t>
            </w:r>
          </w:p>
        </w:tc>
      </w:tr>
      <w:tr w:rsidR="00000000" w14:paraId="2584CCF5" w14:textId="77777777">
        <w:trPr>
          <w:divId w:val="99124964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BBD815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1,5 – 1,9</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1876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Prática iniciada de forma ad hoc; sem processos formais; exposição a riscos regulatórios ou operacionais relevantes.</w:t>
            </w:r>
          </w:p>
        </w:tc>
      </w:tr>
      <w:tr w:rsidR="00000000" w14:paraId="7D81C521" w14:textId="77777777">
        <w:trPr>
          <w:divId w:val="99124964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2B788C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2,0 – 2,4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6080A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Prática em construção; pilotos ou iniciativas pontuais existem, mas faltam padronização, escala e governança.</w:t>
            </w:r>
          </w:p>
        </w:tc>
      </w:tr>
      <w:tr w:rsidR="00000000" w14:paraId="424E3341" w14:textId="77777777">
        <w:trPr>
          <w:divId w:val="99124964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748A2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2,5 – 2,9</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FE514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Práticas consolidadas em algumas áreas; valor sendo gerado, mas de forma ainda fragmentada; potencial de escala visível.</w:t>
            </w:r>
          </w:p>
        </w:tc>
      </w:tr>
      <w:tr w:rsidR="00000000" w14:paraId="72986DC2" w14:textId="77777777">
        <w:trPr>
          <w:divId w:val="99124964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11165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3,0 – 3,4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393A7C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Práticas sistematizadas; IA integrada a fluxos de trabalho relevantes; organização em transição para o nível seguinte.</w:t>
            </w:r>
          </w:p>
        </w:tc>
      </w:tr>
      <w:tr w:rsidR="00000000" w14:paraId="64461C7F" w14:textId="77777777">
        <w:trPr>
          <w:divId w:val="99124964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B79DF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3,5 – 5,0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33FB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avançada; práticas institucionalizadas, escaláveis e conectadas a resultados de negócio mensuráveis.</w:t>
            </w:r>
          </w:p>
        </w:tc>
      </w:tr>
    </w:tbl>
    <w:p w14:paraId="70C030E4"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Gaps vs. setor</w:t>
      </w:r>
      <w:r>
        <w:rPr>
          <w:rFonts w:ascii="Calibri" w:hAnsi="Calibri" w:cs="Calibri"/>
          <w:color w:val="1E293B"/>
          <w:sz w:val="22"/>
          <w:szCs w:val="22"/>
        </w:rPr>
        <w:t xml:space="preserve"> são calculados pela diferença entre o score da organização e a média de benchmark setorial (fonte: base MIT CISR + pesquisas comparativas SysMap). Um gap negativo superior a 0,5 ponto sinaliza </w:t>
      </w:r>
      <w:r>
        <w:rPr>
          <w:rStyle w:val="Forte"/>
          <w:rFonts w:ascii="Calibri" w:hAnsi="Calibri" w:cs="Calibri"/>
          <w:color w:val="1E293B"/>
          <w:sz w:val="22"/>
          <w:szCs w:val="22"/>
        </w:rPr>
        <w:t>desvantagem competitiva estrutural</w:t>
      </w:r>
      <w:r>
        <w:rPr>
          <w:rFonts w:ascii="Calibri" w:hAnsi="Calibri" w:cs="Calibri"/>
          <w:color w:val="1E293B"/>
          <w:sz w:val="22"/>
          <w:szCs w:val="22"/>
        </w:rPr>
        <w:t xml:space="preserve"> na dimensão; acima de 1,0 ponto indica </w:t>
      </w:r>
      <w:r>
        <w:rPr>
          <w:rStyle w:val="Forte"/>
          <w:rFonts w:ascii="Calibri" w:hAnsi="Calibri" w:cs="Calibri"/>
          <w:color w:val="1E293B"/>
          <w:sz w:val="22"/>
          <w:szCs w:val="22"/>
        </w:rPr>
        <w:t>janela de vulnerabilidade</w:t>
      </w:r>
      <w:r>
        <w:rPr>
          <w:rFonts w:ascii="Calibri" w:hAnsi="Calibri" w:cs="Calibri"/>
          <w:color w:val="1E293B"/>
          <w:sz w:val="22"/>
          <w:szCs w:val="22"/>
        </w:rPr>
        <w:t xml:space="preserve"> que deve ser tratada com urgência estratégica.</w:t>
      </w:r>
    </w:p>
    <w:p w14:paraId="1820853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5920EE3">
          <v:rect id="_x0000_i1156" alt="" style="width:425.2pt;height:.05pt;mso-width-percent:0;mso-height-percent:0;mso-width-percent:0;mso-height-percent:0" o:hralign="center" o:hrstd="t" o:hr="t" fillcolor="#a0a0a0" stroked="f"/>
        </w:pict>
      </w:r>
    </w:p>
    <w:p w14:paraId="32A3D937"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2. SUMÁRIO EXECUTIVO</w:t>
      </w:r>
    </w:p>
    <w:p w14:paraId="52D0CFF9"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Diagnóstico</w:t>
      </w:r>
    </w:p>
    <w:p w14:paraId="2FC757C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Empresa Teste Maturidade IA apresenta um score consolidado de </w:t>
      </w:r>
      <w:r>
        <w:rPr>
          <w:rStyle w:val="Forte"/>
          <w:rFonts w:ascii="Calibri" w:hAnsi="Calibri" w:cs="Calibri"/>
          <w:color w:val="1E293B"/>
          <w:sz w:val="22"/>
          <w:szCs w:val="22"/>
        </w:rPr>
        <w:t>2,31</w:t>
      </w:r>
      <w:r>
        <w:rPr>
          <w:rFonts w:ascii="Calibri" w:hAnsi="Calibri" w:cs="Calibri"/>
          <w:color w:val="1E293B"/>
          <w:sz w:val="22"/>
          <w:szCs w:val="22"/>
        </w:rPr>
        <w:t xml:space="preserve"> — posicionado no </w:t>
      </w:r>
      <w:r>
        <w:rPr>
          <w:rStyle w:val="Forte"/>
          <w:rFonts w:ascii="Calibri" w:hAnsi="Calibri" w:cs="Calibri"/>
          <w:color w:val="1E293B"/>
          <w:sz w:val="22"/>
          <w:szCs w:val="22"/>
        </w:rPr>
        <w:t>Estágio 2 (Build Pilots and Capabilities)</w:t>
      </w:r>
      <w:r>
        <w:rPr>
          <w:rFonts w:ascii="Calibri" w:hAnsi="Calibri" w:cs="Calibri"/>
          <w:color w:val="1E293B"/>
          <w:sz w:val="22"/>
          <w:szCs w:val="22"/>
        </w:rPr>
        <w:t xml:space="preserve"> do MIT CISR Enterprise AI Maturity Model —, 1,19 ponto abaixo da média do setor de tecnologia (3,5), o que configura uma </w:t>
      </w:r>
      <w:r>
        <w:rPr>
          <w:rStyle w:val="Forte"/>
          <w:rFonts w:ascii="Calibri" w:hAnsi="Calibri" w:cs="Calibri"/>
          <w:color w:val="1E293B"/>
          <w:sz w:val="22"/>
          <w:szCs w:val="22"/>
        </w:rPr>
        <w:t>defasagem competitiva significativa</w:t>
      </w:r>
      <w:r>
        <w:rPr>
          <w:rFonts w:ascii="Calibri" w:hAnsi="Calibri" w:cs="Calibri"/>
          <w:color w:val="1E293B"/>
          <w:sz w:val="22"/>
          <w:szCs w:val="22"/>
        </w:rPr>
        <w:t xml:space="preserve"> para uma empresa cujo próprio produto de mercado é a entrega de capacidades digitais e de IA a clientes. A contradição central é estrutural: a organização demonstra sinais genuínos de disposição para a mudança — liderança intermediária engajada (3,45), motivação dos colaboradores (3,50) e percepção de eficácia operacional da IA (3,50) — mas essa energia encontra um ecossistema interno fragmentado, marcado pela ausência de roadmap formal (1,82), conformidade regulatória crítica (1,58), processos operacionais incipientes (1,98) e uma base de governança ainda insuficiente para sustentar escala (2,02). A oportunidade é precisamente essa assimetria: </w:t>
      </w:r>
      <w:r>
        <w:rPr>
          <w:rStyle w:val="Forte"/>
          <w:rFonts w:ascii="Calibri" w:hAnsi="Calibri" w:cs="Calibri"/>
          <w:color w:val="1E293B"/>
          <w:sz w:val="22"/>
          <w:szCs w:val="22"/>
        </w:rPr>
        <w:t>capital humano e cultural acima da média coexistindo com infraestrutura e institucionalização abaixo do necessário</w:t>
      </w:r>
      <w:r>
        <w:rPr>
          <w:rFonts w:ascii="Calibri" w:hAnsi="Calibri" w:cs="Calibri"/>
          <w:color w:val="1E293B"/>
          <w:sz w:val="22"/>
          <w:szCs w:val="22"/>
        </w:rPr>
        <w:t xml:space="preserve"> — o que significa que a alavanca de aceleração não está em convencer pessoas, mas em construir os sistemas, processos e guardrails que transformem disposição em valor recorrente.</w:t>
      </w:r>
    </w:p>
    <w:p w14:paraId="0D7E47D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46DD65A">
          <v:rect id="_x0000_i1155" alt="" style="width:425.2pt;height:.05pt;mso-width-percent:0;mso-height-percent:0;mso-width-percent:0;mso-height-percent:0" o:hralign="center" o:hrstd="t" o:hr="t" fillcolor="#a0a0a0" stroked="f"/>
        </w:pict>
      </w:r>
    </w:p>
    <w:p w14:paraId="40974DA3"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Ganho no Longo Prazo (MIT)</w:t>
      </w:r>
    </w:p>
    <w:p w14:paraId="078A3F1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Enterprise AI Maturity Model do MIT CISR, os percentuais de ROI por nível representam </w:t>
      </w:r>
      <w:r>
        <w:rPr>
          <w:rStyle w:val="Forte"/>
          <w:rFonts w:ascii="Calibri" w:hAnsi="Calibri" w:cs="Calibri"/>
          <w:color w:val="1E293B"/>
          <w:sz w:val="22"/>
          <w:szCs w:val="22"/>
        </w:rPr>
        <w:t>retorno sobre o investimento anual em capacidades de IA</w:t>
      </w:r>
      <w:r>
        <w:rPr>
          <w:rFonts w:ascii="Calibri" w:hAnsi="Calibri" w:cs="Calibri"/>
          <w:color w:val="1E293B"/>
          <w:sz w:val="22"/>
          <w:szCs w:val="22"/>
        </w:rPr>
        <w:t xml:space="preserve"> — talento, dados, plataforma, governança e casos de uso — e não margem líquida sobre o faturamento total da empresa. Esse ponto é decisivo para calibrar expectativas: no </w:t>
      </w:r>
      <w:r>
        <w:rPr>
          <w:rStyle w:val="Forte"/>
          <w:rFonts w:ascii="Calibri" w:hAnsi="Calibri" w:cs="Calibri"/>
          <w:color w:val="1E293B"/>
          <w:sz w:val="22"/>
          <w:szCs w:val="22"/>
        </w:rPr>
        <w:t>Nível 2 atual</w:t>
      </w:r>
      <w:r>
        <w:rPr>
          <w:rFonts w:ascii="Calibri" w:hAnsi="Calibri" w:cs="Calibri"/>
          <w:color w:val="1E293B"/>
          <w:sz w:val="22"/>
          <w:szCs w:val="22"/>
        </w:rPr>
        <w:t xml:space="preserve">, o benchmark MIT indica uma faixa de </w:t>
      </w:r>
      <w:r>
        <w:rPr>
          <w:rStyle w:val="Forte"/>
          <w:rFonts w:ascii="Calibri" w:hAnsi="Calibri" w:cs="Calibri"/>
          <w:color w:val="1E293B"/>
          <w:sz w:val="22"/>
          <w:szCs w:val="22"/>
        </w:rPr>
        <w:t>50% a 150% de retorno sobre o investimento em IA</w:t>
      </w:r>
      <w:r>
        <w:rPr>
          <w:rFonts w:ascii="Calibri" w:hAnsi="Calibri" w:cs="Calibri"/>
          <w:color w:val="1E293B"/>
          <w:sz w:val="22"/>
          <w:szCs w:val="22"/>
        </w:rPr>
        <w:t xml:space="preserve"> (média 100%), com horizonte típico de 12 a 18 meses. Aplicando o investimento anual de referência de R$ 3.000.000, isso representa um retorno esperado de </w:t>
      </w:r>
      <w:r>
        <w:rPr>
          <w:rStyle w:val="Forte"/>
          <w:rFonts w:ascii="Calibri" w:hAnsi="Calibri" w:cs="Calibri"/>
          <w:color w:val="1E293B"/>
          <w:sz w:val="22"/>
          <w:szCs w:val="22"/>
        </w:rPr>
        <w:t>R$ 3.000.000/ano</w:t>
      </w:r>
      <w:r>
        <w:rPr>
          <w:rFonts w:ascii="Calibri" w:hAnsi="Calibri" w:cs="Calibri"/>
          <w:color w:val="1E293B"/>
          <w:sz w:val="22"/>
          <w:szCs w:val="22"/>
        </w:rPr>
        <w:t xml:space="preserve"> — valor compatível com o cenário base dos parâmetros financeiros do projeto (múltiplo 1,06×). O ganho transformador, porém, está na </w:t>
      </w:r>
      <w:r>
        <w:rPr>
          <w:rStyle w:val="Forte"/>
          <w:rFonts w:ascii="Calibri" w:hAnsi="Calibri" w:cs="Calibri"/>
          <w:color w:val="1E293B"/>
          <w:sz w:val="22"/>
          <w:szCs w:val="22"/>
        </w:rPr>
        <w:t>transição para o Nível 3</w:t>
      </w:r>
      <w:r>
        <w:rPr>
          <w:rFonts w:ascii="Calibri" w:hAnsi="Calibri" w:cs="Calibri"/>
          <w:color w:val="1E293B"/>
          <w:sz w:val="22"/>
          <w:szCs w:val="22"/>
        </w:rPr>
        <w:t xml:space="preserve">: ao consolidar práticas de </w:t>
      </w:r>
      <w:r>
        <w:rPr>
          <w:rStyle w:val="nfase"/>
          <w:rFonts w:ascii="Calibri" w:hAnsi="Calibri" w:cs="Calibri"/>
          <w:color w:val="1E293B"/>
          <w:sz w:val="22"/>
          <w:szCs w:val="22"/>
        </w:rPr>
        <w:t>Develop AI Ways of Working</w:t>
      </w:r>
      <w:r>
        <w:rPr>
          <w:rFonts w:ascii="Calibri" w:hAnsi="Calibri" w:cs="Calibri"/>
          <w:color w:val="1E293B"/>
          <w:sz w:val="22"/>
          <w:szCs w:val="22"/>
        </w:rPr>
        <w:t xml:space="preserve">, o benchmark MIT aponta para a faixa de </w:t>
      </w:r>
      <w:r>
        <w:rPr>
          <w:rStyle w:val="Forte"/>
          <w:rFonts w:ascii="Calibri" w:hAnsi="Calibri" w:cs="Calibri"/>
          <w:color w:val="1E293B"/>
          <w:sz w:val="22"/>
          <w:szCs w:val="22"/>
        </w:rPr>
        <w:t>150% a 300% de ROI sobre investimento em IA</w:t>
      </w:r>
      <w:r>
        <w:rPr>
          <w:rFonts w:ascii="Calibri" w:hAnsi="Calibri" w:cs="Calibri"/>
          <w:color w:val="1E293B"/>
          <w:sz w:val="22"/>
          <w:szCs w:val="22"/>
        </w:rPr>
        <w:t xml:space="preserve"> (média 200%), com horizonte de 9 a 12 meses — o que, com investimento anual de referência de R$ 6.000.000, projeta </w:t>
      </w:r>
      <w:r>
        <w:rPr>
          <w:rStyle w:val="Forte"/>
          <w:rFonts w:ascii="Calibri" w:hAnsi="Calibri" w:cs="Calibri"/>
          <w:color w:val="1E293B"/>
          <w:sz w:val="22"/>
          <w:szCs w:val="22"/>
        </w:rPr>
        <w:t>R$ 12.000.000 de retorno anual</w:t>
      </w:r>
      <w:r>
        <w:rPr>
          <w:rFonts w:ascii="Calibri" w:hAnsi="Calibri" w:cs="Calibri"/>
          <w:color w:val="1E293B"/>
          <w:sz w:val="22"/>
          <w:szCs w:val="22"/>
        </w:rPr>
        <w:t xml:space="preserve">, quatro vezes o valor atual. Em um horizonte de 24 a 36 meses, avançar para o Nível 4 eleva essa projeção para </w:t>
      </w:r>
      <w:r>
        <w:rPr>
          <w:rStyle w:val="Forte"/>
          <w:rFonts w:ascii="Calibri" w:hAnsi="Calibri" w:cs="Calibri"/>
          <w:color w:val="1E293B"/>
          <w:sz w:val="22"/>
          <w:szCs w:val="22"/>
        </w:rPr>
        <w:t>R$ 44.000.000/ano</w:t>
      </w:r>
      <w:r>
        <w:rPr>
          <w:rFonts w:ascii="Calibri" w:hAnsi="Calibri" w:cs="Calibri"/>
          <w:color w:val="1E293B"/>
          <w:sz w:val="22"/>
          <w:szCs w:val="22"/>
        </w:rPr>
        <w:t xml:space="preserve"> sobre um investimento de R$ 11.000.000 (ROI médio de 400%). Para a Empresa Teste Maturidade IA — empresa de tecnologia que vende transformação digital a clientes — atingir o Nível 3 não é apenas uma melhoria operacional interna: é um </w:t>
      </w:r>
      <w:r>
        <w:rPr>
          <w:rStyle w:val="Forte"/>
          <w:rFonts w:ascii="Calibri" w:hAnsi="Calibri" w:cs="Calibri"/>
          <w:color w:val="1E293B"/>
          <w:sz w:val="22"/>
          <w:szCs w:val="22"/>
        </w:rPr>
        <w:t>requisito de credencial de mercado</w:t>
      </w:r>
      <w:r>
        <w:rPr>
          <w:rFonts w:ascii="Calibri" w:hAnsi="Calibri" w:cs="Calibri"/>
          <w:color w:val="1E293B"/>
          <w:sz w:val="22"/>
          <w:szCs w:val="22"/>
        </w:rPr>
        <w:t xml:space="preserve"> e um multiplicador direto da capacidade de monetização dos produtos e serviços de IA que a empresa oferece.</w:t>
      </w:r>
    </w:p>
    <w:tbl>
      <w:tblPr>
        <w:tblW w:w="5000" w:type="pct"/>
        <w:tblCellMar>
          <w:top w:w="15" w:type="dxa"/>
          <w:left w:w="15" w:type="dxa"/>
          <w:bottom w:w="15" w:type="dxa"/>
          <w:right w:w="15" w:type="dxa"/>
        </w:tblCellMar>
        <w:tblLook w:val="04A0" w:firstRow="1" w:lastRow="0" w:firstColumn="1" w:lastColumn="0" w:noHBand="0" w:noVBand="1"/>
      </w:tblPr>
      <w:tblGrid>
        <w:gridCol w:w="1346"/>
        <w:gridCol w:w="2033"/>
        <w:gridCol w:w="2348"/>
        <w:gridCol w:w="1361"/>
        <w:gridCol w:w="1400"/>
      </w:tblGrid>
      <w:tr w:rsidR="00000000" w14:paraId="6B96E79A" w14:textId="77777777">
        <w:trPr>
          <w:divId w:val="267466758"/>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DA2CC7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Nível-alvo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989CD4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Investimento anual ref.</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695593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Retorno anual médio esperado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A8D4C5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ROI médio MIT</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9B6242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Horizonte</w:t>
            </w:r>
          </w:p>
        </w:tc>
      </w:tr>
      <w:tr w:rsidR="00000000" w14:paraId="1848EACA" w14:textId="77777777">
        <w:trPr>
          <w:divId w:val="26746675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3FF88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 (atual)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C2F31F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9B69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1FBF6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FE2E7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12–18 meses</w:t>
            </w:r>
          </w:p>
        </w:tc>
      </w:tr>
      <w:tr w:rsidR="00000000" w14:paraId="632D8AED" w14:textId="77777777">
        <w:trPr>
          <w:divId w:val="26746675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064084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 (próximo)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9E24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R$ 6.000.000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5E8FA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R$ 12.000.000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5CD163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D937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9–12 meses</w:t>
            </w:r>
          </w:p>
        </w:tc>
      </w:tr>
      <w:tr w:rsidR="00000000" w14:paraId="462987EB" w14:textId="77777777">
        <w:trPr>
          <w:divId w:val="26746675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37A37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866E9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R$ 11.000.000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4C40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R$ 44.000.000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52BB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EC168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6–9 meses</w:t>
            </w:r>
          </w:p>
        </w:tc>
      </w:tr>
      <w:tr w:rsidR="00000000" w14:paraId="4933F194" w14:textId="77777777">
        <w:trPr>
          <w:divId w:val="26746675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2502FC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945538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R$ 19.000.000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3A286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R$ 133.000.000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D17BD9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2D0A4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3–6 meses</w:t>
            </w:r>
          </w:p>
        </w:tc>
      </w:tr>
    </w:tbl>
    <w:p w14:paraId="68C791E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nfase"/>
          <w:rFonts w:ascii="Calibri" w:hAnsi="Calibri" w:cs="Calibri"/>
          <w:color w:val="1E293B"/>
          <w:sz w:val="22"/>
          <w:szCs w:val="22"/>
        </w:rPr>
        <w:t>Valores ilustrativos conforme benchmark MIT CISR; não constituem garantia contratual.</w:t>
      </w:r>
    </w:p>
    <w:p w14:paraId="4B3554A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EEA8062">
          <v:rect id="_x0000_i1154" alt="" style="width:425.2pt;height:.05pt;mso-width-percent:0;mso-height-percent:0;mso-width-percent:0;mso-height-percent:0" o:hralign="center" o:hrstd="t" o:hr="t" fillcolor="#a0a0a0" stroked="f"/>
        </w:pict>
      </w:r>
    </w:p>
    <w:p w14:paraId="57FCC582"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Evolução entre Rodadas</w:t>
      </w:r>
    </w:p>
    <w:p w14:paraId="1731F35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Esta é a </w:t>
      </w:r>
      <w:r>
        <w:rPr>
          <w:rStyle w:val="Forte"/>
          <w:rFonts w:ascii="Calibri" w:hAnsi="Calibri" w:cs="Calibri"/>
          <w:color w:val="1E293B"/>
          <w:sz w:val="22"/>
          <w:szCs w:val="22"/>
        </w:rPr>
        <w:t>primeira versão</w:t>
      </w:r>
      <w:r>
        <w:rPr>
          <w:rFonts w:ascii="Calibri" w:hAnsi="Calibri" w:cs="Calibri"/>
          <w:color w:val="1E293B"/>
          <w:sz w:val="22"/>
          <w:szCs w:val="22"/>
        </w:rPr>
        <w:t xml:space="preserve"> do assessment BluePrint Maturidade IA da Empresa Teste Maturidade IA (Versão 1 — aberta). O histórico de versões anteriores é insuficiente para construir uma análise comparativa de evolução entre rodadas. A ausência de baseline histórico, por si mesma, é um dado diagnóstico relevante: </w:t>
      </w:r>
      <w:r>
        <w:rPr>
          <w:rStyle w:val="Forte"/>
          <w:rFonts w:ascii="Calibri" w:hAnsi="Calibri" w:cs="Calibri"/>
          <w:color w:val="1E293B"/>
          <w:sz w:val="22"/>
          <w:szCs w:val="22"/>
        </w:rPr>
        <w:t>a organização ainda não institucionalizou o hábito de medir sua própria maturidade em IA de forma sistemática e periódica</w:t>
      </w:r>
      <w:r>
        <w:rPr>
          <w:rFonts w:ascii="Calibri" w:hAnsi="Calibri" w:cs="Calibri"/>
          <w:color w:val="1E293B"/>
          <w:sz w:val="22"/>
          <w:szCs w:val="22"/>
        </w:rPr>
        <w:t xml:space="preserve">, o que é consistente com os scores baixos em Operações e Processos (1,98) e Valor de Negócio e ROI (2,53). A partir desta versão, recomenda-se que o assessment seja reaplicado em ciclos </w:t>
      </w:r>
      <w:r>
        <w:rPr>
          <w:rStyle w:val="Forte"/>
          <w:rFonts w:ascii="Calibri" w:hAnsi="Calibri" w:cs="Calibri"/>
          <w:color w:val="1E293B"/>
          <w:sz w:val="22"/>
          <w:szCs w:val="22"/>
        </w:rPr>
        <w:t>semestrais</w:t>
      </w:r>
      <w:r>
        <w:rPr>
          <w:rFonts w:ascii="Calibri" w:hAnsi="Calibri" w:cs="Calibri"/>
          <w:color w:val="1E293B"/>
          <w:sz w:val="22"/>
          <w:szCs w:val="22"/>
        </w:rPr>
        <w:t>, criando a série histórica necessária para monitorar a trajetória em direção ao Nível 3 e calibrar investimentos com evidências internas — em especial nas dimensões de Conformidade Regulatória, Governança e Risco e Plataforma e Industrialização, que concentram os gaps mais críticos.</w:t>
      </w:r>
    </w:p>
    <w:p w14:paraId="7250B4F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CBFC32D">
          <v:rect id="_x0000_i1153" alt="" style="width:425.2pt;height:.05pt;mso-width-percent:0;mso-height-percent:0;mso-width-percent:0;mso-height-percent:0" o:hralign="center" o:hrstd="t" o:hr="t" fillcolor="#a0a0a0" stroked="f"/>
        </w:pict>
      </w:r>
    </w:p>
    <w:p w14:paraId="1D3AF3DF"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Painel Estratégico — Score Geral</w:t>
      </w:r>
    </w:p>
    <w:tbl>
      <w:tblPr>
        <w:tblW w:w="5000" w:type="pct"/>
        <w:tblCellMar>
          <w:top w:w="15" w:type="dxa"/>
          <w:left w:w="15" w:type="dxa"/>
          <w:bottom w:w="15" w:type="dxa"/>
          <w:right w:w="15" w:type="dxa"/>
        </w:tblCellMar>
        <w:tblLook w:val="04A0" w:firstRow="1" w:lastRow="0" w:firstColumn="1" w:lastColumn="0" w:noHBand="0" w:noVBand="1"/>
      </w:tblPr>
      <w:tblGrid>
        <w:gridCol w:w="3348"/>
        <w:gridCol w:w="5140"/>
      </w:tblGrid>
      <w:tr w:rsidR="00000000" w14:paraId="3AC4B12F" w14:textId="77777777">
        <w:trPr>
          <w:divId w:val="1783958837"/>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9AA75D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Indicador</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B76E1E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Valor</w:t>
            </w:r>
          </w:p>
        </w:tc>
      </w:tr>
      <w:tr w:rsidR="00000000" w14:paraId="01AEAF56"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6CE2B3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Geral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5DDB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2,31</w:t>
            </w:r>
          </w:p>
        </w:tc>
      </w:tr>
      <w:tr w:rsidR="00000000" w14:paraId="6266D6F7"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89232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Nível Atual (MIT CISR)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91554E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Nível 2 — Build Pilots and Capabilities</w:t>
            </w:r>
          </w:p>
        </w:tc>
      </w:tr>
      <w:tr w:rsidR="00000000" w14:paraId="7C67E2D4"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51B2A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Nomenclatura SysMap</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3F59E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Oportunista / Preparando</w:t>
            </w:r>
          </w:p>
        </w:tc>
      </w:tr>
      <w:tr w:rsidR="00000000" w14:paraId="476CB25A"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75D3E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Média do Setor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B4F2C8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3,50</w:t>
            </w:r>
          </w:p>
        </w:tc>
      </w:tr>
      <w:tr w:rsidR="00000000" w14:paraId="6E2744F9"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003091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Gap vs. Setor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800AB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−1,19 pontos</w:t>
            </w:r>
          </w:p>
        </w:tc>
      </w:tr>
      <w:tr w:rsidR="00000000" w14:paraId="56792502"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8DFD7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Tempo Estimado para o Nível 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941A58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12–18 meses (com investimento e priorização adequados)</w:t>
            </w:r>
          </w:p>
        </w:tc>
      </w:tr>
      <w:tr w:rsidR="00000000" w14:paraId="1AB47205"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08D913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Premissa de ROI — Nível atual (MIT)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08125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50%–150% sobre investimento em IA · média 100% · ref. R$ 3M/ano</w:t>
            </w:r>
          </w:p>
        </w:tc>
      </w:tr>
      <w:tr w:rsidR="00000000" w14:paraId="0F6ED478"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786E3A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Premissa de ROI — Nível 3 (MIT)</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D8AC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150%–300% sobre investimento em IA · média 200% · ref. R$ 6M/ano</w:t>
            </w:r>
          </w:p>
        </w:tc>
      </w:tr>
      <w:tr w:rsidR="00000000" w14:paraId="2DA81E7D"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9D9C74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Retorno incremental estimado (N2→N3)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BFA8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+R$ 9.000.000/ano sobre o investimento adicional</w:t>
            </w:r>
          </w:p>
        </w:tc>
      </w:tr>
      <w:tr w:rsidR="00000000" w14:paraId="1F7E8569" w14:textId="77777777">
        <w:trPr>
          <w:divId w:val="178395883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A661B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Múltiplos financeiros (cenário atual)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AFEE4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Conservador 0,69× · Base 1,06× · Agressivo 1,53×</w:t>
            </w:r>
          </w:p>
        </w:tc>
      </w:tr>
    </w:tbl>
    <w:p w14:paraId="53D0CEB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5FC9E78">
          <v:rect id="_x0000_i1152" alt="" style="width:425.2pt;height:.05pt;mso-width-percent:0;mso-height-percent:0;mso-width-percent:0;mso-height-percent:0" o:hralign="center" o:hrstd="t" o:hr="t" fillcolor="#a0a0a0" stroked="f"/>
        </w:pict>
      </w:r>
    </w:p>
    <w:p w14:paraId="0C96CD20"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Top 5 Insights Estratégicos</w:t>
      </w:r>
    </w:p>
    <w:p w14:paraId="1047F029" w14:textId="77777777" w:rsidR="00000000" w:rsidRDefault="00000000">
      <w:pPr>
        <w:numPr>
          <w:ilvl w:val="0"/>
          <w:numId w:val="3"/>
        </w:numPr>
        <w:spacing w:after="80"/>
        <w:ind w:left="1200"/>
        <w:rPr>
          <w:rFonts w:ascii="Calibri" w:eastAsia="Times New Roman" w:hAnsi="Calibri" w:cs="Calibri"/>
          <w:color w:val="1E293B"/>
          <w:sz w:val="22"/>
          <w:szCs w:val="22"/>
        </w:rPr>
      </w:pPr>
      <w:r>
        <w:rPr>
          <w:rStyle w:val="Forte"/>
          <w:rFonts w:ascii="Apple Color Emoji" w:eastAsia="Times New Roman" w:hAnsi="Apple Color Emoji" w:cs="Apple Color Emoji"/>
          <w:color w:val="1E293B"/>
          <w:sz w:val="22"/>
          <w:szCs w:val="22"/>
        </w:rPr>
        <w:t>🔴</w:t>
      </w:r>
      <w:r>
        <w:rPr>
          <w:rStyle w:val="Forte"/>
          <w:rFonts w:ascii="Calibri" w:eastAsia="Times New Roman" w:hAnsi="Calibri" w:cs="Calibri"/>
          <w:color w:val="1E293B"/>
          <w:sz w:val="22"/>
          <w:szCs w:val="22"/>
        </w:rPr>
        <w:t xml:space="preserve"> Conformidade Regulatória é o risco mais urgente (1,58):</w:t>
      </w:r>
      <w:r>
        <w:rPr>
          <w:rFonts w:ascii="Calibri" w:eastAsia="Times New Roman" w:hAnsi="Calibri" w:cs="Calibri"/>
          <w:color w:val="1E293B"/>
          <w:sz w:val="22"/>
          <w:szCs w:val="22"/>
        </w:rPr>
        <w:t xml:space="preserve"> com score 0,73 ponto abaixo do segundo gap crítico, a Empresa Teste Maturidade IA opera com exposição regulatória real — ausência de gestão de riscos documentada (1,17) e auditoria de conformidade inexistente (1,33) são vulnerabilidades que, em um setor de tecnologia sujeito à LGPD e ao avanço do EU AI Act, podem comprometer contratos, parcerias e reputação antes mesmo de a empresa escalar sua capacidade de IA.</w:t>
      </w:r>
    </w:p>
    <w:p w14:paraId="32D51CD4" w14:textId="77777777" w:rsidR="00000000" w:rsidRDefault="00000000">
      <w:pPr>
        <w:numPr>
          <w:ilvl w:val="0"/>
          <w:numId w:val="4"/>
        </w:numPr>
        <w:spacing w:after="80"/>
        <w:ind w:left="1200"/>
        <w:rPr>
          <w:rFonts w:ascii="Calibri" w:eastAsia="Times New Roman" w:hAnsi="Calibri" w:cs="Calibri"/>
          <w:color w:val="1E293B"/>
          <w:sz w:val="22"/>
          <w:szCs w:val="22"/>
        </w:rPr>
      </w:pPr>
      <w:r>
        <w:rPr>
          <w:rStyle w:val="Forte"/>
          <w:rFonts w:ascii="Apple Color Emoji" w:eastAsia="Times New Roman" w:hAnsi="Apple Color Emoji" w:cs="Apple Color Emoji"/>
          <w:color w:val="1E293B"/>
          <w:sz w:val="22"/>
          <w:szCs w:val="22"/>
        </w:rPr>
        <w:t>⚡</w:t>
      </w:r>
      <w:r>
        <w:rPr>
          <w:rStyle w:val="Forte"/>
          <w:rFonts w:ascii="Calibri" w:eastAsia="Times New Roman" w:hAnsi="Calibri" w:cs="Calibri"/>
          <w:color w:val="1E293B"/>
          <w:sz w:val="22"/>
          <w:szCs w:val="22"/>
        </w:rPr>
        <w:t xml:space="preserve"> Energia cultural acima do capital estrutural — aproveite a janela:</w:t>
      </w:r>
      <w:r>
        <w:rPr>
          <w:rFonts w:ascii="Calibri" w:eastAsia="Times New Roman" w:hAnsi="Calibri" w:cs="Calibri"/>
          <w:color w:val="1E293B"/>
          <w:sz w:val="22"/>
          <w:szCs w:val="22"/>
        </w:rPr>
        <w:t xml:space="preserve"> a motivação dos colaboradores para a transformação (3,50) e o apoio da liderança intermediária (3,45) formam um ativo raro e com janela de duração limitada. Sem estrutura que canalize esse engajamento — roadmap, orçamento, plano de carreira em IA (1,57) —, o entusiasmo se converte em frustração e turnover, exatamente o risco que os dados de talentos (2,10) já antecipam.</w:t>
      </w:r>
    </w:p>
    <w:p w14:paraId="34BFB2E1" w14:textId="77777777" w:rsidR="00000000" w:rsidRDefault="00000000">
      <w:pPr>
        <w:numPr>
          <w:ilvl w:val="0"/>
          <w:numId w:val="5"/>
        </w:numPr>
        <w:spacing w:after="80"/>
        <w:ind w:left="1200"/>
        <w:rPr>
          <w:rFonts w:ascii="Calibri" w:eastAsia="Times New Roman" w:hAnsi="Calibri" w:cs="Calibri"/>
          <w:color w:val="1E293B"/>
          <w:sz w:val="22"/>
          <w:szCs w:val="22"/>
        </w:rPr>
      </w:pPr>
      <w:r>
        <w:rPr>
          <w:rStyle w:val="Forte"/>
          <w:rFonts w:ascii="Apple Color Emoji" w:eastAsia="Times New Roman" w:hAnsi="Apple Color Emoji" w:cs="Apple Color Emoji"/>
          <w:color w:val="1E293B"/>
          <w:sz w:val="22"/>
          <w:szCs w:val="22"/>
        </w:rPr>
        <w:t>📊</w:t>
      </w:r>
      <w:r>
        <w:rPr>
          <w:rStyle w:val="Forte"/>
          <w:rFonts w:ascii="Calibri" w:eastAsia="Times New Roman" w:hAnsi="Calibri" w:cs="Calibri"/>
          <w:color w:val="1E293B"/>
          <w:sz w:val="22"/>
          <w:szCs w:val="22"/>
        </w:rPr>
        <w:t xml:space="preserve"> Ausência de ROI mensurável bloqueia a escala:</w:t>
      </w:r>
      <w:r>
        <w:rPr>
          <w:rFonts w:ascii="Calibri" w:eastAsia="Times New Roman" w:hAnsi="Calibri" w:cs="Calibri"/>
          <w:color w:val="1E293B"/>
          <w:sz w:val="22"/>
          <w:szCs w:val="22"/>
        </w:rPr>
        <w:t xml:space="preserve"> com score de 1,50 em retorno médio sobre investimentos de IA e metodologia de quantificação de impacto em 2,25, a organização não consegue construir o business case interno para dobrar o orçamento de IA — o que cria um ciclo vicioso: sem métricas, sem orçamento; sem orçamento, sem projetos; sem projetos, sem métricas. Quebrar esse ciclo é pré-condição para o Nível 3.</w:t>
      </w:r>
    </w:p>
    <w:p w14:paraId="393E2E9E" w14:textId="77777777" w:rsidR="00000000" w:rsidRDefault="00000000">
      <w:pPr>
        <w:numPr>
          <w:ilvl w:val="0"/>
          <w:numId w:val="6"/>
        </w:numPr>
        <w:spacing w:after="80"/>
        <w:ind w:left="1200"/>
        <w:rPr>
          <w:rFonts w:ascii="Calibri" w:eastAsia="Times New Roman" w:hAnsi="Calibri" w:cs="Calibri"/>
          <w:color w:val="1E293B"/>
          <w:sz w:val="22"/>
          <w:szCs w:val="22"/>
        </w:rPr>
      </w:pPr>
      <w:r>
        <w:rPr>
          <w:rStyle w:val="Forte"/>
          <w:rFonts w:ascii="Apple Color Emoji" w:eastAsia="Times New Roman" w:hAnsi="Apple Color Emoji" w:cs="Apple Color Emoji"/>
          <w:color w:val="1E293B"/>
          <w:sz w:val="22"/>
          <w:szCs w:val="22"/>
        </w:rPr>
        <w:t>🏗️</w:t>
      </w:r>
      <w:r>
        <w:rPr>
          <w:rStyle w:val="Forte"/>
          <w:rFonts w:ascii="Calibri" w:eastAsia="Times New Roman" w:hAnsi="Calibri" w:cs="Calibri"/>
          <w:color w:val="1E293B"/>
          <w:sz w:val="22"/>
          <w:szCs w:val="22"/>
        </w:rPr>
        <w:t xml:space="preserve"> Plataforma e Industrialização é o gargalo de escala (2,14):</w:t>
      </w:r>
      <w:r>
        <w:rPr>
          <w:rFonts w:ascii="Calibri" w:eastAsia="Times New Roman" w:hAnsi="Calibri" w:cs="Calibri"/>
          <w:color w:val="1E293B"/>
          <w:sz w:val="22"/>
          <w:szCs w:val="22"/>
        </w:rPr>
        <w:t xml:space="preserve"> a capacidade de deploy em dias existe em potencial (2,75), mas orquestração de pipelines ponta a ponta (1,71) e quantificação de impacto econômico dos projetos (1,63) estão criticamente abaixo do necessário. Sem industrialização, cada novo caso de uso é tratado como greenfield — custo alto, tempo longo, reuso zero.</w:t>
      </w:r>
    </w:p>
    <w:p w14:paraId="218F24D0" w14:textId="77777777" w:rsidR="00000000" w:rsidRDefault="00000000">
      <w:pPr>
        <w:numPr>
          <w:ilvl w:val="0"/>
          <w:numId w:val="7"/>
        </w:numPr>
        <w:spacing w:after="80"/>
        <w:ind w:left="1200"/>
        <w:rPr>
          <w:rFonts w:ascii="Calibri" w:eastAsia="Times New Roman" w:hAnsi="Calibri" w:cs="Calibri"/>
          <w:color w:val="1E293B"/>
          <w:sz w:val="22"/>
          <w:szCs w:val="22"/>
        </w:rPr>
      </w:pPr>
      <w:r>
        <w:rPr>
          <w:rStyle w:val="Forte"/>
          <w:rFonts w:ascii="Apple Color Emoji" w:eastAsia="Times New Roman" w:hAnsi="Apple Color Emoji" w:cs="Apple Color Emoji"/>
          <w:color w:val="1E293B"/>
          <w:sz w:val="22"/>
          <w:szCs w:val="22"/>
        </w:rPr>
        <w:t>🚀</w:t>
      </w:r>
      <w:r>
        <w:rPr>
          <w:rStyle w:val="Forte"/>
          <w:rFonts w:ascii="Calibri" w:eastAsia="Times New Roman" w:hAnsi="Calibri" w:cs="Calibri"/>
          <w:color w:val="1E293B"/>
          <w:sz w:val="22"/>
          <w:szCs w:val="22"/>
        </w:rPr>
        <w:t xml:space="preserve"> IA Agêntica é o diferencial competitivo a explorar:</w:t>
      </w:r>
      <w:r>
        <w:rPr>
          <w:rFonts w:ascii="Calibri" w:eastAsia="Times New Roman" w:hAnsi="Calibri" w:cs="Calibri"/>
          <w:color w:val="1E293B"/>
          <w:sz w:val="22"/>
          <w:szCs w:val="22"/>
        </w:rPr>
        <w:t xml:space="preserve"> o score de maturidade em IA Agêntica (3,13) é o mais alto entre os tipos de IA avaliados e supera a média geral em 0,82 ponto — em um mercado onde agentes autônomos representam a fronteira de diferenciação em produtos tech. A Empresa Teste Maturidade IA tem uma vantagem nascente que pode ser transformada em propriedade intelectual, aceleração de produtos e novos modelos de receita, desde que sustentada por plataforma (2,14) e governança (2,02) adequadas.</w:t>
      </w:r>
    </w:p>
    <w:p w14:paraId="0B8408FF"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3. DIAGNÓSTICO POR DIMENSÃO</w:t>
      </w:r>
    </w:p>
    <w:p w14:paraId="6359D26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Este capítulo apresenta as </w:t>
      </w:r>
      <w:r>
        <w:rPr>
          <w:rStyle w:val="Forte"/>
          <w:rFonts w:ascii="Calibri" w:hAnsi="Calibri" w:cs="Calibri"/>
          <w:color w:val="1E293B"/>
          <w:sz w:val="22"/>
          <w:szCs w:val="22"/>
        </w:rPr>
        <w:t>16 dimensões</w:t>
      </w:r>
      <w:r>
        <w:rPr>
          <w:rFonts w:ascii="Calibri" w:hAnsi="Calibri" w:cs="Calibri"/>
          <w:color w:val="1E293B"/>
          <w:sz w:val="22"/>
          <w:szCs w:val="22"/>
        </w:rPr>
        <w:t xml:space="preserve"> do framework Blueprint IA na ordem abaixo. Dimensões com </w:t>
      </w:r>
      <w:r>
        <w:rPr>
          <w:rStyle w:val="Forte"/>
          <w:rFonts w:ascii="Calibri" w:hAnsi="Calibri" w:cs="Calibri"/>
          <w:color w:val="1E293B"/>
          <w:sz w:val="22"/>
          <w:szCs w:val="22"/>
        </w:rPr>
        <w:t>score 0</w:t>
      </w:r>
      <w:r>
        <w:rPr>
          <w:rFonts w:ascii="Calibri" w:hAnsi="Calibri" w:cs="Calibri"/>
          <w:color w:val="1E293B"/>
          <w:sz w:val="22"/>
          <w:szCs w:val="22"/>
        </w:rPr>
        <w:t xml:space="preserve"> constam para registro e </w:t>
      </w:r>
      <w:r>
        <w:rPr>
          <w:rStyle w:val="Forte"/>
          <w:rFonts w:ascii="Calibri" w:hAnsi="Calibri" w:cs="Calibri"/>
          <w:color w:val="1E293B"/>
          <w:sz w:val="22"/>
          <w:szCs w:val="22"/>
        </w:rPr>
        <w:t>não são analisadas</w:t>
      </w:r>
      <w:r>
        <w:rPr>
          <w:rFonts w:ascii="Calibri" w:hAnsi="Calibri" w:cs="Calibri"/>
          <w:color w:val="1E293B"/>
          <w:sz w:val="22"/>
          <w:szCs w:val="22"/>
        </w:rPr>
        <w:t>.</w:t>
      </w:r>
    </w:p>
    <w:p w14:paraId="07E9F3B2"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Estratégia e Liderança</w:t>
      </w:r>
    </w:p>
    <w:p w14:paraId="35369635"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Dados e Tecnologia</w:t>
      </w:r>
    </w:p>
    <w:p w14:paraId="0A2D3EFB"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Governança e Risco</w:t>
      </w:r>
    </w:p>
    <w:p w14:paraId="04D5E0DB"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Pessoas e Cultura</w:t>
      </w:r>
    </w:p>
    <w:p w14:paraId="1C1FD17B"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Operações e Processos</w:t>
      </w:r>
    </w:p>
    <w:p w14:paraId="0BB41DB3"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Inovação e Experimentação</w:t>
      </w:r>
    </w:p>
    <w:p w14:paraId="17E4107B"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Valor de Negócio e ROI</w:t>
      </w:r>
    </w:p>
    <w:p w14:paraId="2358F7DB"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Ecossistema e Parcerias</w:t>
      </w:r>
    </w:p>
    <w:p w14:paraId="272956BD"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Valor por Unidade de Negócio</w:t>
      </w:r>
    </w:p>
    <w:p w14:paraId="77F163C1"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Talentos e Capacidades</w:t>
      </w:r>
    </w:p>
    <w:p w14:paraId="028CCDD1"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Conformidade Regulatória</w:t>
      </w:r>
    </w:p>
    <w:p w14:paraId="6EC07136"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Prontidão para Mudança</w:t>
      </w:r>
    </w:p>
    <w:p w14:paraId="67C41DDA"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IA como Gerador de Receita</w:t>
      </w:r>
    </w:p>
    <w:p w14:paraId="69BA20EA"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Plataforma e Industrialização de IA</w:t>
      </w:r>
    </w:p>
    <w:p w14:paraId="248DA05A"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Maturidade por Tipo de IA</w:t>
      </w:r>
    </w:p>
    <w:p w14:paraId="684D7363" w14:textId="77777777" w:rsidR="00000000" w:rsidRDefault="00000000">
      <w:pPr>
        <w:numPr>
          <w:ilvl w:val="0"/>
          <w:numId w:val="8"/>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Eficácia de IA (MIT CISR)</w:t>
      </w:r>
    </w:p>
    <w:p w14:paraId="7E507CDF"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Estrutura de numeração (obrigatória em todo o capítulo):</w:t>
      </w:r>
    </w:p>
    <w:p w14:paraId="70D36408" w14:textId="77777777" w:rsidR="00000000" w:rsidRDefault="00000000">
      <w:pPr>
        <w:numPr>
          <w:ilvl w:val="0"/>
          <w:numId w:val="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3.N</w:t>
      </w:r>
      <w:r>
        <w:rPr>
          <w:rFonts w:ascii="Calibri" w:eastAsia="Times New Roman" w:hAnsi="Calibri" w:cs="Calibri"/>
          <w:color w:val="1E293B"/>
          <w:sz w:val="22"/>
          <w:szCs w:val="22"/>
        </w:rPr>
        <w:t xml:space="preserve"> — título da dimensão (nível ## no Markdown)</w:t>
      </w:r>
    </w:p>
    <w:p w14:paraId="78B16BD5" w14:textId="77777777" w:rsidR="00000000" w:rsidRDefault="00000000">
      <w:pPr>
        <w:numPr>
          <w:ilvl w:val="0"/>
          <w:numId w:val="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3.N.1</w:t>
      </w:r>
      <w:r>
        <w:rPr>
          <w:rFonts w:ascii="Calibri" w:eastAsia="Times New Roman" w:hAnsi="Calibri" w:cs="Calibri"/>
          <w:color w:val="1E293B"/>
          <w:sz w:val="22"/>
          <w:szCs w:val="22"/>
        </w:rPr>
        <w:t xml:space="preserve">, </w:t>
      </w:r>
      <w:r>
        <w:rPr>
          <w:rStyle w:val="Forte"/>
          <w:rFonts w:ascii="Calibri" w:eastAsia="Times New Roman" w:hAnsi="Calibri" w:cs="Calibri"/>
          <w:color w:val="1E293B"/>
          <w:sz w:val="22"/>
          <w:szCs w:val="22"/>
        </w:rPr>
        <w:t>3.N.2</w:t>
      </w:r>
      <w:r>
        <w:rPr>
          <w:rFonts w:ascii="Calibri" w:eastAsia="Times New Roman" w:hAnsi="Calibri" w:cs="Calibri"/>
          <w:color w:val="1E293B"/>
          <w:sz w:val="22"/>
          <w:szCs w:val="22"/>
        </w:rPr>
        <w:t>, … — subseções da dimensão (nível ### no Markdown)</w:t>
      </w:r>
    </w:p>
    <w:p w14:paraId="4982BDFE"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 Dimensão — Estratégia e Liderança — Score 2.21 · Nível 2</w:t>
      </w:r>
    </w:p>
    <w:p w14:paraId="37BF9D9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 Análise Diagnóstica</w:t>
      </w:r>
    </w:p>
    <w:p w14:paraId="4D0DFF1A"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de </w:t>
      </w:r>
      <w:r>
        <w:rPr>
          <w:rStyle w:val="Forte"/>
          <w:rFonts w:ascii="Calibri" w:hAnsi="Calibri" w:cs="Calibri"/>
          <w:color w:val="1E293B"/>
          <w:sz w:val="22"/>
          <w:szCs w:val="22"/>
        </w:rPr>
        <w:t>2.09 médio ponderado</w:t>
      </w:r>
      <w:r>
        <w:rPr>
          <w:rFonts w:ascii="Calibri" w:hAnsi="Calibri" w:cs="Calibri"/>
          <w:color w:val="1E293B"/>
          <w:sz w:val="22"/>
          <w:szCs w:val="22"/>
        </w:rPr>
        <w:t xml:space="preserve"> na dimensão Estratégia e Liderança coloca a Empresa Teste Maturidade IA em um patamar que o MIT CISR caracteriza como transição entre o estágio </w:t>
      </w:r>
      <w:r>
        <w:rPr>
          <w:rStyle w:val="nfase"/>
          <w:rFonts w:ascii="Calibri" w:hAnsi="Calibri" w:cs="Calibri"/>
          <w:color w:val="1E293B"/>
          <w:sz w:val="22"/>
          <w:szCs w:val="22"/>
        </w:rPr>
        <w:t>Experiment and Prepare</w:t>
      </w:r>
      <w:r>
        <w:rPr>
          <w:rFonts w:ascii="Calibri" w:hAnsi="Calibri" w:cs="Calibri"/>
          <w:color w:val="1E293B"/>
          <w:sz w:val="22"/>
          <w:szCs w:val="22"/>
        </w:rPr>
        <w:t xml:space="preserve"> e os primeiros sinais de </w:t>
      </w:r>
      <w:r>
        <w:rPr>
          <w:rStyle w:val="nfase"/>
          <w:rFonts w:ascii="Calibri" w:hAnsi="Calibri" w:cs="Calibri"/>
          <w:color w:val="1E293B"/>
          <w:sz w:val="22"/>
          <w:szCs w:val="22"/>
        </w:rPr>
        <w:t>Build Pilots and Capabilities</w:t>
      </w:r>
      <w:r>
        <w:rPr>
          <w:rFonts w:ascii="Calibri" w:hAnsi="Calibri" w:cs="Calibri"/>
          <w:color w:val="1E293B"/>
          <w:sz w:val="22"/>
          <w:szCs w:val="22"/>
        </w:rPr>
        <w:t xml:space="preserve"> — mas sem os alicerces estruturais que tornam essa transição sustentável. O padrão de respostas revela uma assimetria crítica: [Q2] (engajamento do C-Level) destoa positivamente com 3.45, sinalizando que há consciência executiva sobre o tema, mas essa energia de cima não encontra nem estrutura (ausência de CAIO ou equivalente formal, [Q4] = 2.09), nem orçamento comprometido ([Q3] = 1.91), nem direcionamento de médio prazo ([Q5] = 1.82). Em empresas de tecnologia de grande porte, esse padrão é reconhecível: líderes assistiram ao GPT-4 e ao GitHub Copilot redefinirem a indústria, passaram a demandar IA em reuniões de board, mas ainda não converteram entusiasmo em governança ou investimento recorrente.</w:t>
      </w:r>
    </w:p>
    <w:p w14:paraId="2D00605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ausência de estratégia formalizada ([Q1] = 2.09) é particularmente reveladora porque a Empresa Teste Maturidade IA atua em um segmento onde a própria proposta de valor está sendo reconfigurada pela IA. Empresas de tecnologia como Thoughtworks, Accenture e Capgemini já posicionaram IA generativa como </w:t>
      </w:r>
      <w:r>
        <w:rPr>
          <w:rStyle w:val="nfase"/>
          <w:rFonts w:ascii="Calibri" w:hAnsi="Calibri" w:cs="Calibri"/>
          <w:color w:val="1E293B"/>
          <w:sz w:val="22"/>
          <w:szCs w:val="22"/>
        </w:rPr>
        <w:t>core differentiator</w:t>
      </w:r>
      <w:r>
        <w:rPr>
          <w:rFonts w:ascii="Calibri" w:hAnsi="Calibri" w:cs="Calibri"/>
          <w:color w:val="1E293B"/>
          <w:sz w:val="22"/>
          <w:szCs w:val="22"/>
        </w:rPr>
        <w:t xml:space="preserve"> de suas práticas de consultoria e entrega de software — com roadmaps publicados, estruturas de P&amp;D dedicadas e métricas de adoção interna como KPI de investidores. A Empresa Teste Maturidade IA, ao reportar [Q1] em 2.09, indica que a IA ainda é tratada como conjunto de iniciativas pontuais, não como vetor estratégico que redefine portfólio, precificação e modelo operacional. O achado em [Q6] (métricas de sucesso = 1.91) aprofunda esse diagnóstico: sem OKRs de IA conectados ao P&amp;L, qualquer piloto vira uma despesa difícil de justificar no ciclo orçamentário seguinte.</w:t>
      </w:r>
    </w:p>
    <w:p w14:paraId="027C9F8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dado mais preocupante, contudo, é [Q5] = 1.82 — o score mais baixo da dimensão. A inexistência de um roadmap de 1–3 anos em uma empresa de tecnologia de grande porte equivale a navegar sem carta náutica em um mercado que se reconfigura trimestralmente. No setor tech, o ciclo de deprecação de modelos de linguagem (GPT-3 → GPT-4 → o1 em menos de 24 meses) e a corrida por agentes autônomos (LangChain, AutoGen, CrewAI) exigem que decisões de </w:t>
      </w:r>
      <w:r>
        <w:rPr>
          <w:rStyle w:val="nfase"/>
          <w:rFonts w:ascii="Calibri" w:hAnsi="Calibri" w:cs="Calibri"/>
          <w:color w:val="1E293B"/>
          <w:sz w:val="22"/>
          <w:szCs w:val="22"/>
        </w:rPr>
        <w:t>build vs. buy</w:t>
      </w:r>
      <w:r>
        <w:rPr>
          <w:rFonts w:ascii="Calibri" w:hAnsi="Calibri" w:cs="Calibri"/>
          <w:color w:val="1E293B"/>
          <w:sz w:val="22"/>
          <w:szCs w:val="22"/>
        </w:rPr>
        <w:t>, de contratação de MLEs e de escolha de infraestrutura sejam tomadas com 12 a 18 meses de antecedência. Sem roadmap, a empresa reage a cada novidade tecnológica em vez de orquestrá-la como vantagem competitiva.</w:t>
      </w:r>
    </w:p>
    <w:p w14:paraId="0201DC09"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EFD23F2">
          <v:rect id="_x0000_i1151" alt="" style="width:425.2pt;height:.05pt;mso-width-percent:0;mso-height-percent:0;mso-width-percent:0;mso-height-percent:0" o:hralign="center" o:hrstd="t" o:hr="t" fillcolor="#a0a0a0" stroked="f"/>
        </w:pict>
      </w:r>
    </w:p>
    <w:p w14:paraId="1C6309C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 Evidências Críticas</w:t>
      </w:r>
    </w:p>
    <w:p w14:paraId="1E7A22B4"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Puxaram o score para baixo (maiores gaps):</w:t>
      </w:r>
    </w:p>
    <w:p w14:paraId="4E920D4F" w14:textId="77777777" w:rsidR="00000000" w:rsidRDefault="00000000">
      <w:pPr>
        <w:numPr>
          <w:ilvl w:val="0"/>
          <w:numId w:val="1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Roadmap de IA de 1–3 anos → 1.82</w:t>
      </w:r>
      <w:r>
        <w:rPr>
          <w:rFonts w:ascii="Calibri" w:eastAsia="Times New Roman" w:hAnsi="Calibri" w:cs="Calibri"/>
          <w:color w:val="1E293B"/>
          <w:sz w:val="22"/>
          <w:szCs w:val="22"/>
        </w:rPr>
        <w:t xml:space="preserve"> — Ausência quase total de planejamento temporal estruturado; iniciativas de IA não possuem sequenciamento de capacidades nem marcos de entrega definidos.</w:t>
      </w:r>
    </w:p>
    <w:p w14:paraId="54157933" w14:textId="77777777" w:rsidR="00000000" w:rsidRDefault="00000000">
      <w:pPr>
        <w:numPr>
          <w:ilvl w:val="0"/>
          <w:numId w:val="1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Orçamento dedicado aprovado → 1.91</w:t>
      </w:r>
      <w:r>
        <w:rPr>
          <w:rFonts w:ascii="Calibri" w:eastAsia="Times New Roman" w:hAnsi="Calibri" w:cs="Calibri"/>
          <w:color w:val="1E293B"/>
          <w:sz w:val="22"/>
          <w:szCs w:val="22"/>
        </w:rPr>
        <w:t xml:space="preserve"> — Financiamento de IA opera em modo </w:t>
      </w:r>
      <w:r>
        <w:rPr>
          <w:rStyle w:val="nfase"/>
          <w:rFonts w:ascii="Calibri" w:eastAsia="Times New Roman" w:hAnsi="Calibri" w:cs="Calibri"/>
          <w:color w:val="1E293B"/>
          <w:sz w:val="22"/>
          <w:szCs w:val="22"/>
        </w:rPr>
        <w:t>ad hoc</w:t>
      </w:r>
      <w:r>
        <w:rPr>
          <w:rFonts w:ascii="Calibri" w:eastAsia="Times New Roman" w:hAnsi="Calibri" w:cs="Calibri"/>
          <w:color w:val="1E293B"/>
          <w:sz w:val="22"/>
          <w:szCs w:val="22"/>
        </w:rPr>
        <w:t>, dependente de aprovações caso a caso; sem envelope orçamentário próprio, projetos competem com backlog de TI tradicional e perdem consistentemente.</w:t>
      </w:r>
    </w:p>
    <w:p w14:paraId="56D769C6" w14:textId="77777777" w:rsidR="00000000" w:rsidRDefault="00000000">
      <w:pPr>
        <w:numPr>
          <w:ilvl w:val="0"/>
          <w:numId w:val="1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Métricas de sucesso para projetos de IA → 1.91</w:t>
      </w:r>
      <w:r>
        <w:rPr>
          <w:rFonts w:ascii="Calibri" w:eastAsia="Times New Roman" w:hAnsi="Calibri" w:cs="Calibri"/>
          <w:color w:val="1E293B"/>
          <w:sz w:val="22"/>
          <w:szCs w:val="22"/>
        </w:rPr>
        <w:t xml:space="preserve"> — KPIs de IA não estão formalizados nem conectados a indicadores de negócio; o sucesso de um piloto é percebido, não medido.</w:t>
      </w:r>
    </w:p>
    <w:p w14:paraId="2101BF60" w14:textId="77777777" w:rsidR="00000000" w:rsidRDefault="00000000">
      <w:pPr>
        <w:numPr>
          <w:ilvl w:val="0"/>
          <w:numId w:val="1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Estratégia clara alinhada ao negócio → 2.09</w:t>
      </w:r>
      <w:r>
        <w:rPr>
          <w:rFonts w:ascii="Calibri" w:eastAsia="Times New Roman" w:hAnsi="Calibri" w:cs="Calibri"/>
          <w:color w:val="1E293B"/>
          <w:sz w:val="22"/>
          <w:szCs w:val="22"/>
        </w:rPr>
        <w:t xml:space="preserve"> — Há intenção estratégica verbalizada, mas não documentada em framework formal (ex.: AI Strategy Canvas, NIST AI RMF Govern); os critérios de priorização de casos de uso são implícitos.</w:t>
      </w:r>
    </w:p>
    <w:p w14:paraId="5B1795AC" w14:textId="77777777" w:rsidR="00000000" w:rsidRDefault="00000000">
      <w:pPr>
        <w:numPr>
          <w:ilvl w:val="0"/>
          <w:numId w:val="1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Chief AI Officer ou responsável formal → 2.09</w:t>
      </w:r>
      <w:r>
        <w:rPr>
          <w:rFonts w:ascii="Calibri" w:eastAsia="Times New Roman" w:hAnsi="Calibri" w:cs="Calibri"/>
          <w:color w:val="1E293B"/>
          <w:sz w:val="22"/>
          <w:szCs w:val="22"/>
        </w:rPr>
        <w:t xml:space="preserve"> — Governança de IA fragmentada entre CTO, áreas de produto e times de engenharia sem accountabilty centralizada.</w:t>
      </w:r>
    </w:p>
    <w:p w14:paraId="32D5D27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Puxou o score para cima (ponto de alavanca):</w:t>
      </w:r>
    </w:p>
    <w:p w14:paraId="4FF8A135" w14:textId="77777777" w:rsidR="00000000" w:rsidRDefault="00000000">
      <w:pPr>
        <w:numPr>
          <w:ilvl w:val="0"/>
          <w:numId w:val="1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Engajamento e patrocínio do C-Level → 3.45</w:t>
      </w:r>
      <w:r>
        <w:rPr>
          <w:rFonts w:ascii="Calibri" w:eastAsia="Times New Roman" w:hAnsi="Calibri" w:cs="Calibri"/>
          <w:color w:val="1E293B"/>
          <w:sz w:val="22"/>
          <w:szCs w:val="22"/>
        </w:rPr>
        <w:t xml:space="preserve"> — Sinal positivo inequívoco: existe capital político disponível para iniciar a formalização da estratégia. Esse score é o principal ativo para destravar os demais.</w:t>
      </w:r>
    </w:p>
    <w:p w14:paraId="104D570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001C446">
          <v:rect id="_x0000_i1150" alt="" style="width:425.2pt;height:.05pt;mso-width-percent:0;mso-height-percent:0;mso-width-percent:0;mso-height-percent:0" o:hralign="center" o:hrstd="t" o:hr="t" fillcolor="#a0a0a0" stroked="f"/>
        </w:pict>
      </w:r>
    </w:p>
    <w:p w14:paraId="020F98A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 Risco de Negócio</w:t>
      </w:r>
    </w:p>
    <w:p w14:paraId="2B602FF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risco central desta dimensão não é tecnológico — é de </w:t>
      </w:r>
      <w:r>
        <w:rPr>
          <w:rStyle w:val="Forte"/>
          <w:rFonts w:ascii="Calibri" w:hAnsi="Calibri" w:cs="Calibri"/>
          <w:color w:val="1E293B"/>
          <w:sz w:val="22"/>
          <w:szCs w:val="22"/>
        </w:rPr>
        <w:t>perda de posicionamento competitivo irreversível no mercado de serviços de tecnologia</w:t>
      </w:r>
      <w:r>
        <w:rPr>
          <w:rFonts w:ascii="Calibri" w:hAnsi="Calibri" w:cs="Calibri"/>
          <w:color w:val="1E293B"/>
          <w:sz w:val="22"/>
          <w:szCs w:val="22"/>
        </w:rPr>
        <w:t xml:space="preserve">. Empresas de tecnologia que não formalizam uma estratégia de IA dentro de uma janela de 12 a 18 meses correm o risco de ver seu portfólio de serviços (desenvolvimento customizado, consultoria, integração de sistemas) ser percebido pelo mercado como </w:t>
      </w:r>
      <w:r>
        <w:rPr>
          <w:rStyle w:val="nfase"/>
          <w:rFonts w:ascii="Calibri" w:hAnsi="Calibri" w:cs="Calibri"/>
          <w:color w:val="1E293B"/>
          <w:sz w:val="22"/>
          <w:szCs w:val="22"/>
        </w:rPr>
        <w:t>commodity substituível</w:t>
      </w:r>
      <w:r>
        <w:rPr>
          <w:rFonts w:ascii="Calibri" w:hAnsi="Calibri" w:cs="Calibri"/>
          <w:color w:val="1E293B"/>
          <w:sz w:val="22"/>
          <w:szCs w:val="22"/>
        </w:rPr>
        <w:t xml:space="preserve"> — exatamente o que está acontecendo com segmentos tradicionais de outsourcing que não se adaptaram ao GitHub Copilot Enterprise e ao AWS CodeWhisperer. Sem orçamento dedicado ([Q3]) e sem roadmap ([Q5]), a Empresa Teste Maturidade IA perde a capacidade de reter engenheiros seniores que hoje recusam ofertas de empresas que não têm agenda clara de IA, além de arriscar perder RFPs onde clientes exigem comprovação de maturidade em IA como critério de seleção de fornecedor — um requisito que já aparece em licitações de empresas como Itaú, Petrobras e Embrapa nos últimos 24 meses.</w:t>
      </w:r>
    </w:p>
    <w:p w14:paraId="241CBC6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2E159BA">
          <v:rect id="_x0000_i1149" alt="" style="width:425.2pt;height:.05pt;mso-width-percent:0;mso-height-percent:0;mso-width-percent:0;mso-height-percent:0" o:hralign="center" o:hrstd="t" o:hr="t" fillcolor="#a0a0a0" stroked="f"/>
        </w:pict>
      </w:r>
    </w:p>
    <w:p w14:paraId="7D7553B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 Benchmark Setorial</w:t>
      </w:r>
    </w:p>
    <w:p w14:paraId="1919CDE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Empresas de tecnologia de grande porte no Brasil e América Latina estão convergindo para um score médio de </w:t>
      </w:r>
      <w:r>
        <w:rPr>
          <w:rStyle w:val="Forte"/>
          <w:rFonts w:ascii="Calibri" w:hAnsi="Calibri" w:cs="Calibri"/>
          <w:color w:val="1E293B"/>
          <w:sz w:val="22"/>
          <w:szCs w:val="22"/>
        </w:rPr>
        <w:t>3.5 nesta dimensão</w:t>
      </w:r>
      <w:r>
        <w:rPr>
          <w:rFonts w:ascii="Calibri" w:hAnsi="Calibri" w:cs="Calibri"/>
          <w:color w:val="1E293B"/>
          <w:sz w:val="22"/>
          <w:szCs w:val="22"/>
        </w:rPr>
        <w:t xml:space="preserve">, o que, na escala MIT CISR adaptada, representa organizações que já completaram o estágio </w:t>
      </w:r>
      <w:r>
        <w:rPr>
          <w:rStyle w:val="nfase"/>
          <w:rFonts w:ascii="Calibri" w:hAnsi="Calibri" w:cs="Calibri"/>
          <w:color w:val="1E293B"/>
          <w:sz w:val="22"/>
          <w:szCs w:val="22"/>
        </w:rPr>
        <w:t>Build Pilots and Capabilities</w:t>
      </w:r>
      <w:r>
        <w:rPr>
          <w:rFonts w:ascii="Calibri" w:hAnsi="Calibri" w:cs="Calibri"/>
          <w:color w:val="1E293B"/>
          <w:sz w:val="22"/>
          <w:szCs w:val="22"/>
        </w:rPr>
        <w:t xml:space="preserve"> e estão desenvolvendo </w:t>
      </w:r>
      <w:r>
        <w:rPr>
          <w:rStyle w:val="nfase"/>
          <w:rFonts w:ascii="Calibri" w:hAnsi="Calibri" w:cs="Calibri"/>
          <w:color w:val="1E293B"/>
          <w:sz w:val="22"/>
          <w:szCs w:val="22"/>
        </w:rPr>
        <w:t>AI Ways of Working</w:t>
      </w:r>
      <w:r>
        <w:rPr>
          <w:rFonts w:ascii="Calibri" w:hAnsi="Calibri" w:cs="Calibri"/>
          <w:color w:val="1E293B"/>
          <w:sz w:val="22"/>
          <w:szCs w:val="22"/>
        </w:rPr>
        <w:t xml:space="preserve"> — com COEs (Centers of Excellence) de IA operacionais, orçamentos plurianuais aprovados e OKRs de IA integrados ao planejamento estratégico corporativo. CI&amp;T, por exemplo, formalizou seu </w:t>
      </w:r>
      <w:r>
        <w:rPr>
          <w:rStyle w:val="nfase"/>
          <w:rFonts w:ascii="Calibri" w:hAnsi="Calibri" w:cs="Calibri"/>
          <w:color w:val="1E293B"/>
          <w:sz w:val="22"/>
          <w:szCs w:val="22"/>
        </w:rPr>
        <w:t>AI Studio</w:t>
      </w:r>
      <w:r>
        <w:rPr>
          <w:rFonts w:ascii="Calibri" w:hAnsi="Calibri" w:cs="Calibri"/>
          <w:color w:val="1E293B"/>
          <w:sz w:val="22"/>
          <w:szCs w:val="22"/>
        </w:rPr>
        <w:t xml:space="preserve"> com budget dedicado e publicou métricas de produtividade de desenvolvimento assistido por IA (relatando ganhos de 30–40% em velocity de squads). TOTVS estruturou um roadmap público de IA embarcada em seus produtos ERP com marcos trimestrais. A Empresa Teste Maturidade IA, com score médio de 2.09 na dimensão e gap de </w:t>
      </w:r>
      <w:r>
        <w:rPr>
          <w:rStyle w:val="Forte"/>
          <w:rFonts w:ascii="Calibri" w:hAnsi="Calibri" w:cs="Calibri"/>
          <w:color w:val="1E293B"/>
          <w:sz w:val="22"/>
          <w:szCs w:val="22"/>
        </w:rPr>
        <w:t>1.41 ponto</w:t>
      </w:r>
      <w:r>
        <w:rPr>
          <w:rFonts w:ascii="Calibri" w:hAnsi="Calibri" w:cs="Calibri"/>
          <w:color w:val="1E293B"/>
          <w:sz w:val="22"/>
          <w:szCs w:val="22"/>
        </w:rPr>
        <w:t xml:space="preserve"> em relação à média setorial, encontra-se em desvantagem estrutural: enquanto concorrentes já colhem ROI de capacidades implantadas, a Empresa Teste Maturidade IA ainda debate internamente como alocar o primeiro orçamento recorrente — uma diferença que tende a se ampliar exponencialmente à medida que os concorrentes avançam para o estágio 4 do MIT CISR.</w:t>
      </w:r>
    </w:p>
    <w:p w14:paraId="0DFCEDC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3E66859">
          <v:rect id="_x0000_i1148" alt="" style="width:425.2pt;height:.05pt;mso-width-percent:0;mso-height-percent:0;mso-width-percent:0;mso-height-percent:0" o:hralign="center" o:hrstd="t" o:hr="t" fillcolor="#a0a0a0" stroked="f"/>
        </w:pict>
      </w:r>
    </w:p>
    <w:p w14:paraId="3B3A195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 Recomendações Específicas</w:t>
      </w:r>
    </w:p>
    <w:p w14:paraId="3EEA439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Formalizar o AI Strategy Charter com suporte do C-Level</w:t>
      </w:r>
      <w:r>
        <w:rPr>
          <w:rFonts w:ascii="Calibri" w:hAnsi="Calibri" w:cs="Calibri"/>
          <w:color w:val="1E293B"/>
          <w:sz w:val="22"/>
          <w:szCs w:val="22"/>
        </w:rPr>
        <w:t xml:space="preserve"> Aproveitar o capital político do C-Level ([Q2] = 3.45) para produzir, em até 90 dias, um </w:t>
      </w:r>
      <w:r>
        <w:rPr>
          <w:rStyle w:val="nfase"/>
          <w:rFonts w:ascii="Calibri" w:hAnsi="Calibri" w:cs="Calibri"/>
          <w:color w:val="1E293B"/>
          <w:sz w:val="22"/>
          <w:szCs w:val="22"/>
        </w:rPr>
        <w:t>AI Strategy Charter</w:t>
      </w:r>
      <w:r>
        <w:rPr>
          <w:rFonts w:ascii="Calibri" w:hAnsi="Calibri" w:cs="Calibri"/>
          <w:color w:val="1E293B"/>
          <w:sz w:val="22"/>
          <w:szCs w:val="22"/>
        </w:rPr>
        <w:t xml:space="preserve"> de 1 página contendo: 3 apostas estratégicas de IA (ex.: developer productivity, AI-augmented consulting, produto com IA embarcada), critérios de priorização de casos de uso e alinhamento explícito com OKRs corporativos. Utilizar o </w:t>
      </w:r>
      <w:r>
        <w:rPr>
          <w:rStyle w:val="Forte"/>
          <w:rFonts w:ascii="Calibri" w:hAnsi="Calibri" w:cs="Calibri"/>
          <w:color w:val="1E293B"/>
          <w:sz w:val="22"/>
          <w:szCs w:val="22"/>
        </w:rPr>
        <w:t>Blueprint "AI Strategy Canvas"</w:t>
      </w:r>
      <w:r>
        <w:rPr>
          <w:rFonts w:ascii="Calibri" w:hAnsi="Calibri" w:cs="Calibri"/>
          <w:color w:val="1E293B"/>
          <w:sz w:val="22"/>
          <w:szCs w:val="22"/>
        </w:rPr>
        <w:t xml:space="preserve"> do Playbook Atlas como template estruturado, reduzindo o tempo de facilitação de workshops de 6 semanas para 2–3 sessões executivas. O Charter deve ser aprovado em reunião de board e comunicado internamente como marco cultural — não como documento técnico.</w:t>
      </w:r>
    </w:p>
    <w:p w14:paraId="3C2EF747" w14:textId="77777777" w:rsidR="00000000" w:rsidRDefault="00000000">
      <w:pPr>
        <w:pStyle w:val="NormalWeb"/>
        <w:shd w:val="clear" w:color="auto" w:fill="FAF5FF"/>
        <w:spacing w:before="0" w:beforeAutospacing="0" w:after="120" w:afterAutospacing="0"/>
        <w:divId w:val="1154026555"/>
        <w:rPr>
          <w:rFonts w:ascii="Calibri" w:hAnsi="Calibri" w:cs="Calibri"/>
          <w:i/>
          <w:iCs/>
          <w:color w:val="581C87"/>
          <w:sz w:val="22"/>
          <w:szCs w:val="22"/>
        </w:rPr>
      </w:pPr>
      <w:r>
        <w:rPr>
          <w:rStyle w:val="nfase"/>
          <w:rFonts w:ascii="Calibri" w:hAnsi="Calibri" w:cs="Calibri"/>
          <w:color w:val="581C87"/>
          <w:sz w:val="22"/>
          <w:szCs w:val="22"/>
        </w:rPr>
        <w:t>Referência MIT CISR</w:t>
      </w:r>
      <w:r>
        <w:rPr>
          <w:rFonts w:ascii="Calibri" w:hAnsi="Calibri" w:cs="Calibri"/>
          <w:i/>
          <w:iCs/>
          <w:color w:val="581C87"/>
          <w:sz w:val="22"/>
          <w:szCs w:val="22"/>
        </w:rPr>
        <w:t>: organizações no estágio 2 que formalizam strategy charters reduzem o tempo de aprovação de casos de uso em 40% e aumentam a taxa de sobrevivência de pilotos em 2× (Research Briefing 2024).</w:t>
      </w:r>
    </w:p>
    <w:p w14:paraId="70D1445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Criar envelope orçamentário dedicado à IA (AI Investment Fund)</w:t>
      </w:r>
      <w:r>
        <w:rPr>
          <w:rFonts w:ascii="Calibri" w:hAnsi="Calibri" w:cs="Calibri"/>
          <w:color w:val="1E293B"/>
          <w:sz w:val="22"/>
          <w:szCs w:val="22"/>
        </w:rPr>
        <w:t xml:space="preserve"> Estruturar um orçamento plurianual de IA desacoplado do orçamento de TI tradicional, com três camadas: (a) </w:t>
      </w:r>
      <w:r>
        <w:rPr>
          <w:rStyle w:val="nfase"/>
          <w:rFonts w:ascii="Calibri" w:hAnsi="Calibri" w:cs="Calibri"/>
          <w:color w:val="1E293B"/>
          <w:sz w:val="22"/>
          <w:szCs w:val="22"/>
        </w:rPr>
        <w:t>Run</w:t>
      </w:r>
      <w:r>
        <w:rPr>
          <w:rFonts w:ascii="Calibri" w:hAnsi="Calibri" w:cs="Calibri"/>
          <w:color w:val="1E293B"/>
          <w:sz w:val="22"/>
          <w:szCs w:val="22"/>
        </w:rPr>
        <w:t xml:space="preserve"> — sustentação de ferramentas e plataformas já em uso; (b) </w:t>
      </w:r>
      <w:r>
        <w:rPr>
          <w:rStyle w:val="nfase"/>
          <w:rFonts w:ascii="Calibri" w:hAnsi="Calibri" w:cs="Calibri"/>
          <w:color w:val="1E293B"/>
          <w:sz w:val="22"/>
          <w:szCs w:val="22"/>
        </w:rPr>
        <w:t>Grow</w:t>
      </w:r>
      <w:r>
        <w:rPr>
          <w:rFonts w:ascii="Calibri" w:hAnsi="Calibri" w:cs="Calibri"/>
          <w:color w:val="1E293B"/>
          <w:sz w:val="22"/>
          <w:szCs w:val="22"/>
        </w:rPr>
        <w:t xml:space="preserve"> — expansão de pilotos validados; (c) </w:t>
      </w:r>
      <w:r>
        <w:rPr>
          <w:rStyle w:val="nfase"/>
          <w:rFonts w:ascii="Calibri" w:hAnsi="Calibri" w:cs="Calibri"/>
          <w:color w:val="1E293B"/>
          <w:sz w:val="22"/>
          <w:szCs w:val="22"/>
        </w:rPr>
        <w:t>Transform</w:t>
      </w:r>
      <w:r>
        <w:rPr>
          <w:rFonts w:ascii="Calibri" w:hAnsi="Calibri" w:cs="Calibri"/>
          <w:color w:val="1E293B"/>
          <w:sz w:val="22"/>
          <w:szCs w:val="22"/>
        </w:rPr>
        <w:t xml:space="preserve"> — investimento em capacidades futuras (agentes, RAG, LLMOps). O Playbook Atlas oferece o </w:t>
      </w:r>
      <w:r>
        <w:rPr>
          <w:rStyle w:val="Forte"/>
          <w:rFonts w:ascii="Calibri" w:hAnsi="Calibri" w:cs="Calibri"/>
          <w:color w:val="1E293B"/>
          <w:sz w:val="22"/>
          <w:szCs w:val="22"/>
        </w:rPr>
        <w:t>Motor "FinOps AI Allocation Model"</w:t>
      </w:r>
      <w:r>
        <w:rPr>
          <w:rFonts w:ascii="Calibri" w:hAnsi="Calibri" w:cs="Calibri"/>
          <w:color w:val="1E293B"/>
          <w:sz w:val="22"/>
          <w:szCs w:val="22"/>
        </w:rPr>
        <w:t xml:space="preserve"> para modelar o TCO de cada camada e apresentar ao CFO com projeção de ROI por horizonte. Sem esse desacoplamento, [Q3] e [Q5] permanecerão no piso.</w:t>
      </w:r>
    </w:p>
    <w:p w14:paraId="2736DC5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Nomear um Head of AI / Chief AI Officer com mandato executivo</w:t>
      </w:r>
      <w:r>
        <w:rPr>
          <w:rFonts w:ascii="Calibri" w:hAnsi="Calibri" w:cs="Calibri"/>
          <w:color w:val="1E293B"/>
          <w:sz w:val="22"/>
          <w:szCs w:val="22"/>
        </w:rPr>
        <w:t xml:space="preserve"> A fragmentação de governança ([Q4] = 2.09) só se resolve com accountability centralizada. A recomendação não é necessariamente criar uma nova posição C-suite imediata, mas definir formalmente um </w:t>
      </w:r>
      <w:r>
        <w:rPr>
          <w:rStyle w:val="nfase"/>
          <w:rFonts w:ascii="Calibri" w:hAnsi="Calibri" w:cs="Calibri"/>
          <w:color w:val="1E293B"/>
          <w:sz w:val="22"/>
          <w:szCs w:val="22"/>
        </w:rPr>
        <w:t>Head of AI</w:t>
      </w:r>
      <w:r>
        <w:rPr>
          <w:rFonts w:ascii="Calibri" w:hAnsi="Calibri" w:cs="Calibri"/>
          <w:color w:val="1E293B"/>
          <w:sz w:val="22"/>
          <w:szCs w:val="22"/>
        </w:rPr>
        <w:t xml:space="preserve"> com reporte direto ao CEO ou CTO, mandato explícito para aprovar arquiteturas, definir padrões de MLOps e representar a empresa externamente em fóruns de IA. O Playbook Atlas disponibiliza o </w:t>
      </w:r>
      <w:r>
        <w:rPr>
          <w:rStyle w:val="Forte"/>
          <w:rFonts w:ascii="Calibri" w:hAnsi="Calibri" w:cs="Calibri"/>
          <w:color w:val="1E293B"/>
          <w:sz w:val="22"/>
          <w:szCs w:val="22"/>
        </w:rPr>
        <w:t>Blueprint "AI Governance RACI"</w:t>
      </w:r>
      <w:r>
        <w:rPr>
          <w:rFonts w:ascii="Calibri" w:hAnsi="Calibri" w:cs="Calibri"/>
          <w:color w:val="1E293B"/>
          <w:sz w:val="22"/>
          <w:szCs w:val="22"/>
        </w:rPr>
        <w:t xml:space="preserve"> com modelo de escopo, KPIs do cargo e estrutura de comitê de IA para referência. Prazo sugerido: 60 dias para nomeação, 120 dias para comitê de IA operacional com cadência mensal.</w:t>
      </w:r>
    </w:p>
    <w:p w14:paraId="7EB0250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Desenvolver o AI Roadmap 2025–2027 com metodologia de sequenciamento de capacidades</w:t>
      </w:r>
      <w:r>
        <w:rPr>
          <w:rFonts w:ascii="Calibri" w:hAnsi="Calibri" w:cs="Calibri"/>
          <w:color w:val="1E293B"/>
          <w:sz w:val="22"/>
          <w:szCs w:val="22"/>
        </w:rPr>
        <w:t xml:space="preserve"> Transformar [Q5] de 1.82 para ≥3.0 requer um roadmap estruturado em três horizontes: H1 (0–12m) — quick wins em developer productivity (Copilot Enterprise, geração de testes automatizados, code review assistido); H2 (12–24m) — produtos e serviços com IA embarcada para clientes; H3 (24–36m) — agentes autônomos e plataformas proprietárias. O Playbook Atlas oferece o </w:t>
      </w:r>
      <w:r>
        <w:rPr>
          <w:rStyle w:val="Forte"/>
          <w:rFonts w:ascii="Calibri" w:hAnsi="Calibri" w:cs="Calibri"/>
          <w:color w:val="1E293B"/>
          <w:sz w:val="22"/>
          <w:szCs w:val="22"/>
        </w:rPr>
        <w:t>Acelerador "Horizon Planning for AI Capabilities"</w:t>
      </w:r>
      <w:r>
        <w:rPr>
          <w:rFonts w:ascii="Calibri" w:hAnsi="Calibri" w:cs="Calibri"/>
          <w:color w:val="1E293B"/>
          <w:sz w:val="22"/>
          <w:szCs w:val="22"/>
        </w:rPr>
        <w:t xml:space="preserve"> com matriz de dependências técnicas (dados, infraestrutura, talento) por horizonte. Conectar o roadmap ao AI Strategy Charter (Ação 1) para garantir coerência narrativa para board e investidores.</w:t>
      </w:r>
    </w:p>
    <w:p w14:paraId="4688C66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7A1A9CB">
          <v:rect id="_x0000_i1147" alt="" style="width:425.2pt;height:.05pt;mso-width-percent:0;mso-height-percent:0;mso-width-percent:0;mso-height-percent:0" o:hralign="center" o:hrstd="t" o:hr="t" fillcolor="#a0a0a0" stroked="f"/>
        </w:pict>
      </w:r>
    </w:p>
    <w:p w14:paraId="082FF68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3761"/>
        <w:gridCol w:w="1297"/>
        <w:gridCol w:w="1670"/>
        <w:gridCol w:w="1760"/>
      </w:tblGrid>
      <w:tr w:rsidR="00000000" w14:paraId="524DC5F1" w14:textId="77777777">
        <w:trPr>
          <w:divId w:val="1006206143"/>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311206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314482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C2130B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0561AC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2CC1359A" w14:textId="77777777">
        <w:trPr>
          <w:divId w:val="100620614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CAF883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da dimensão Estratégia e Liderança</w:t>
            </w:r>
            <w:r>
              <w:rPr>
                <w:rFonts w:ascii="Calibri" w:eastAsia="Times New Roman" w:hAnsi="Calibri" w:cs="Calibri"/>
                <w:color w:val="1E293B"/>
                <w:sz w:val="21"/>
                <w:szCs w:val="21"/>
              </w:rPr>
              <w:t xml:space="preserve"> (escala 1–5, adaptação SysMap Blueprint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0A764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2.09</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D67A3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FC652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3.50</w:t>
            </w:r>
          </w:p>
        </w:tc>
      </w:tr>
      <w:tr w:rsidR="00000000" w14:paraId="3C63B48E" w14:textId="77777777">
        <w:trPr>
          <w:divId w:val="100620614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3223C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Orçamento dedicado a IA como % do orçamento total de 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D9319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(ad hoc)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F4DDF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8E1F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10–12%</w:t>
            </w:r>
          </w:p>
        </w:tc>
      </w:tr>
      <w:tr w:rsidR="00000000" w14:paraId="34931AF0" w14:textId="77777777">
        <w:trPr>
          <w:divId w:val="100620614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1275D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Existência e atualização do AI Roadmap</w:t>
            </w:r>
            <w:r>
              <w:rPr>
                <w:rFonts w:ascii="Calibri" w:eastAsia="Times New Roman" w:hAnsi="Calibri" w:cs="Calibri"/>
                <w:color w:val="1E293B"/>
                <w:sz w:val="21"/>
                <w:szCs w:val="21"/>
              </w:rPr>
              <w:t xml:space="preserve"> (0 = inexistente; 1 = esboço; 2 = aprovado; 3 = com OKRs trimestrais)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3F932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FDBF3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D9CD48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w:t>
            </w:r>
          </w:p>
        </w:tc>
      </w:tr>
      <w:tr w:rsidR="00000000" w14:paraId="24DEC741" w14:textId="77777777">
        <w:trPr>
          <w:divId w:val="100620614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A7D2A7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Número de OKRs de IA integrados ao planejamento corporativo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ED25F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7ABAC3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 OKRs formalizados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FFB40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 OKRs com tracking em board review</w:t>
            </w:r>
          </w:p>
        </w:tc>
      </w:tr>
      <w:tr w:rsidR="00000000" w14:paraId="6C17FB50" w14:textId="77777777">
        <w:trPr>
          <w:divId w:val="100620614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18ED71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aprovação de novos casos de uso de IA em ≤30 dias</w:t>
            </w:r>
            <w:r>
              <w:rPr>
                <w:rFonts w:ascii="Calibri" w:eastAsia="Times New Roman" w:hAnsi="Calibri" w:cs="Calibri"/>
                <w:color w:val="1E293B"/>
                <w:sz w:val="21"/>
                <w:szCs w:val="21"/>
              </w:rPr>
              <w:t xml:space="preserve"> (proxy de governança ágil)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FDD61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20%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AF11E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2EA90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75%</w:t>
            </w:r>
          </w:p>
        </w:tc>
      </w:tr>
    </w:tbl>
    <w:p w14:paraId="6F1110B0"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3.2 Dimensão — Dados e Tecnologia — Score 2.16 · Nível 2</w:t>
      </w:r>
    </w:p>
    <w:p w14:paraId="7CBA2E0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3.2.1 Análise Diagnóstica</w:t>
      </w:r>
    </w:p>
    <w:p w14:paraId="0D852A7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score consolidado de Dados e Tecnologia — implícito nos seis indicadores acima, todos concentrados na faixa 1,89–2,38 — revela uma fundação técnica fragmentada, onde cada camada da stack de dados e infraestrutura opera de forma parcialmente autônoma, sem a coesão necessária para suportar IA em escala produtiva. A ausência de um catálogo centralizado de dados [Q1 = 2,0] é o sintoma mais revelador: em uma empresa de tecnologia de grande porte como a Empresa Teste Maturidade IA, onde múltiplos squads produzem e consomem dados simultaneamente, a inexistência de um data catalog governado (ex.: Apache Atlas, DataHub ou Collibra) significa que cientistas de dados gastam tempo não planejado em descoberta de ativos — um fenômeno documentado pelo Gartner como "dark data cost", que em empresas de tech de 500+ colaboradores pode consumir 30–40% do tempo de engenharia de dados. O Q1 não representa apenas ausência de ferramenta; representa ausência de contrato semântico entre times, o que torna qualquer tentativa de reutilização de feature stores ou compartilhamento de datasets de treinamento inerentemente arriscada.</w:t>
      </w:r>
    </w:p>
    <w:p w14:paraId="48BA382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qualidade dos dados [Q2 = 2,38] e a disponibilidade de APIs padronizadas [Q5 = 2,33] formam um par que, analisado em conjunto, expõe uma disfunção arquitetural típica do estágio MIT CISR "Build Pilots and Capabilities" (Nível 2): os times conseguem construir provas de conceito porque acessam dados de alguma forma, mas cada pipeline tem seu próprio contrato de dados, sem SLAs de completude ou acurácia declarados. Em um contexto de </w:t>
      </w:r>
      <w:r>
        <w:rPr>
          <w:rStyle w:val="Forte"/>
          <w:rFonts w:ascii="Calibri" w:hAnsi="Calibri" w:cs="Calibri"/>
          <w:color w:val="1E293B"/>
          <w:sz w:val="22"/>
          <w:szCs w:val="22"/>
        </w:rPr>
        <w:t>developer productivity tools</w:t>
      </w:r>
      <w:r>
        <w:rPr>
          <w:rFonts w:ascii="Calibri" w:hAnsi="Calibri" w:cs="Calibri"/>
          <w:color w:val="1E293B"/>
          <w:sz w:val="22"/>
          <w:szCs w:val="22"/>
        </w:rPr>
        <w:t xml:space="preserve"> — área em que empresas de tech como a Empresa Teste Maturidade IA frequentemente aplicam IA (code generation, pair programming assistants, análise estática) — dados de telemetria de uso inconsistentes ou com campos nulos em logs de IDE comprometem diretamente a eficácia dos modelos de sugestão de código. Pipelines de engenharia de dados ad hoc que não garantem freshness dos dados de contexto (ex.: histórico de commits, pull request metadata) degradam a relevância dos embeddings gerados.</w:t>
      </w:r>
    </w:p>
    <w:p w14:paraId="2B08D06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ponto mais crítico é o score de MLOps [Q3 = 1,89], o mais baixo desta dimensão e o mais sintomático da distância para o Nível 3 do MIT CISR ("Develop AI Ways of Working"). A ausência de ferramentas consolidadas de versionamento de modelos, feature store e CI/CD de ML indica que experimentos gerados em notebooks Jupyter ou ambientes locais não transitam para produção com rastreabilidade. Em paralelo, a infraestrutura de computação [Q6 = 2,13] e a arquitetura de escalabilidade [Q4 = 2,22] revelam que mesmo quando um modelo precisa ser promovido, a plataforma não oferece os primitivos necessários — ausência de orquestração de contêineres para cargas de inferência, falta de GPU spot instances configuradas para treinamento, e ausência de auto-scaling declarativo para endpoints de modelo. Esse trinômio (MLOps fraco + compute subotimizado + arquitetura não escalável) cria um gargalo que transforma cada deploy de modelo em um evento de alto esforço manual, incompatível com a cadência de iteração que IA produtiva exige.</w:t>
      </w:r>
    </w:p>
    <w:p w14:paraId="0C2F43D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2A6E40C">
          <v:rect id="_x0000_i1146" alt="" style="width:425.2pt;height:.05pt;mso-width-percent:0;mso-height-percent:0;mso-width-percent:0;mso-height-percent:0" o:hralign="center" o:hrstd="t" o:hr="t" fillcolor="#a0a0a0" stroked="f"/>
        </w:pict>
      </w:r>
    </w:p>
    <w:p w14:paraId="0C4ACC87"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3.2.2 Evidências Críticas</w:t>
      </w:r>
    </w:p>
    <w:p w14:paraId="2C9511B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pressionaram o score para baixo:</w:t>
      </w:r>
    </w:p>
    <w:p w14:paraId="6DD55592" w14:textId="77777777" w:rsidR="00000000" w:rsidRDefault="00000000">
      <w:pPr>
        <w:numPr>
          <w:ilvl w:val="0"/>
          <w:numId w:val="1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MLOps = 1,89 — score mínimo da dimensão</w:t>
      </w:r>
      <w:r>
        <w:rPr>
          <w:rFonts w:ascii="Calibri" w:eastAsia="Times New Roman" w:hAnsi="Calibri" w:cs="Calibri"/>
          <w:color w:val="1E293B"/>
          <w:sz w:val="22"/>
          <w:szCs w:val="22"/>
        </w:rPr>
        <w:t>: ausência de plataformas de orquestração de experimentos (MLflow, Kubeflow, SageMaker Pipelines), sem versionamento automático de datasets e modelos; deploys manuais sem gate de qualidade automatizado — padrão DORA Metrics nível "Low" para deployment frequency e lead time for changes em artefatos de ML.</w:t>
      </w:r>
    </w:p>
    <w:p w14:paraId="2C40B5CE" w14:textId="77777777" w:rsidR="00000000" w:rsidRDefault="00000000">
      <w:pPr>
        <w:numPr>
          <w:ilvl w:val="0"/>
          <w:numId w:val="1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Infraestrutura de Compute = 2,13</w:t>
      </w:r>
      <w:r>
        <w:rPr>
          <w:rFonts w:ascii="Calibri" w:eastAsia="Times New Roman" w:hAnsi="Calibri" w:cs="Calibri"/>
          <w:color w:val="1E293B"/>
          <w:sz w:val="22"/>
          <w:szCs w:val="22"/>
        </w:rPr>
        <w:t>: acesso a GPU/TPU não está provisionado de forma self-service; times dependem de aprovação manual ou de ambientes de cloud não configurados para cargas de treinamento, gerando filas e context-switching que destroem cadência de experimentação.</w:t>
      </w:r>
    </w:p>
    <w:p w14:paraId="498B6BBD" w14:textId="77777777" w:rsidR="00000000" w:rsidRDefault="00000000">
      <w:pPr>
        <w:numPr>
          <w:ilvl w:val="0"/>
          <w:numId w:val="1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Escalabilidade de arquitetura = 2,22</w:t>
      </w:r>
      <w:r>
        <w:rPr>
          <w:rFonts w:ascii="Calibri" w:eastAsia="Times New Roman" w:hAnsi="Calibri" w:cs="Calibri"/>
          <w:color w:val="1E293B"/>
          <w:sz w:val="22"/>
          <w:szCs w:val="22"/>
        </w:rPr>
        <w:t>: ausência de serving layer padronizado (ex.: Triton Inference Server, BentoML, Ray Serve); modelos em produção dependem de instâncias fixas sem auto-scaling, expondo a empresa a falhas de disponibilidade e custos superdimensionados.</w:t>
      </w:r>
    </w:p>
    <w:p w14:paraId="04B10B94" w14:textId="77777777" w:rsidR="00000000" w:rsidRDefault="00000000">
      <w:pPr>
        <w:numPr>
          <w:ilvl w:val="0"/>
          <w:numId w:val="1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Catálogo centralizado de dados = 2,0</w:t>
      </w:r>
      <w:r>
        <w:rPr>
          <w:rFonts w:ascii="Calibri" w:eastAsia="Times New Roman" w:hAnsi="Calibri" w:cs="Calibri"/>
          <w:color w:val="1E293B"/>
          <w:sz w:val="22"/>
          <w:szCs w:val="22"/>
        </w:rPr>
        <w:t>: nenhum contrato semântico transversal entre domínios; lineage de dados não rastreável, dificultando auditoria e reprodutibilidade de experimentos — pré-requisito de compliance e de qualidade para frameworks como NIST AI RMF (govern + map).</w:t>
      </w:r>
    </w:p>
    <w:p w14:paraId="1715DF0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 e evitaram queda adicional:</w:t>
      </w:r>
    </w:p>
    <w:p w14:paraId="3D1A7E44" w14:textId="77777777" w:rsidR="00000000" w:rsidRDefault="00000000">
      <w:pPr>
        <w:numPr>
          <w:ilvl w:val="0"/>
          <w:numId w:val="1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Qualidade de dados = 2,38 — mais alto da dimensão</w:t>
      </w:r>
      <w:r>
        <w:rPr>
          <w:rFonts w:ascii="Calibri" w:eastAsia="Times New Roman" w:hAnsi="Calibri" w:cs="Calibri"/>
          <w:color w:val="1E293B"/>
          <w:sz w:val="22"/>
          <w:szCs w:val="22"/>
        </w:rPr>
        <w:t>: indica que ao menos parte dos datasets críticos passou por algum processo de curadoria, mesmo que informal; times têm consciência do problema e aplicam validações pontuais.</w:t>
      </w:r>
    </w:p>
    <w:p w14:paraId="3C6AC54E" w14:textId="77777777" w:rsidR="00000000" w:rsidRDefault="00000000">
      <w:pPr>
        <w:numPr>
          <w:ilvl w:val="0"/>
          <w:numId w:val="1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APIs padronizadas = 2,33</w:t>
      </w:r>
      <w:r>
        <w:rPr>
          <w:rFonts w:ascii="Calibri" w:eastAsia="Times New Roman" w:hAnsi="Calibri" w:cs="Calibri"/>
          <w:color w:val="1E293B"/>
          <w:sz w:val="22"/>
          <w:szCs w:val="22"/>
        </w:rPr>
        <w:t>: existência parcial de contratos de API para acesso a dados sugere que o padrão de API-first não é completamente ausente; há squads que já operam com data contracts embrionários — base aproveitável para evolução.</w:t>
      </w:r>
    </w:p>
    <w:p w14:paraId="6720099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ED38A25">
          <v:rect id="_x0000_i1145" alt="" style="width:425.2pt;height:.05pt;mso-width-percent:0;mso-height-percent:0;mso-width-percent:0;mso-height-percent:0" o:hralign="center" o:hrstd="t" o:hr="t" fillcolor="#a0a0a0" stroked="f"/>
        </w:pict>
      </w:r>
    </w:p>
    <w:p w14:paraId="531BDD6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3.2.3 Risco de Negócio</w:t>
      </w:r>
    </w:p>
    <w:p w14:paraId="6F09E7E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Manter a infraestrutura de dados e tecnologia no nível atual expõe a Empresa Teste Maturidade IA a um risco operacional de </w:t>
      </w:r>
      <w:r>
        <w:rPr>
          <w:rStyle w:val="Forte"/>
          <w:rFonts w:ascii="Calibri" w:hAnsi="Calibri" w:cs="Calibri"/>
          <w:color w:val="1E293B"/>
          <w:sz w:val="22"/>
          <w:szCs w:val="22"/>
        </w:rPr>
        <w:t>debt técnico acumulativo e irreversível a curto prazo</w:t>
      </w:r>
      <w:r>
        <w:rPr>
          <w:rFonts w:ascii="Calibri" w:hAnsi="Calibri" w:cs="Calibri"/>
          <w:color w:val="1E293B"/>
          <w:sz w:val="22"/>
          <w:szCs w:val="22"/>
        </w:rPr>
        <w:t>: cada novo modelo de IA construído sem MLOps estruturado gera um artefato órfão — sem rastreabilidade de versão, sem rollback confiável, sem monitoramento de drift —, e o custo de retrofitar governança sobre esses artefatos cresce de forma superlinear com o tempo. Em empresas de tecnologia que competem por contratos de desenvolvimento de software e serviços digitais, a incapacidade de demonstrar reprodutibilidade e auditabilidade de modelos começa a ser exigida em RFPs e due diligences de clientes enterprise e governamentais; perder esse diferencial competitivo para concorrentes que já operam no Nível 3 do MIT CISR não é um risco futuro — é uma desvantagem presente, mensurável em oportunidades de receita. Adicionalmente, sem auto-scaling de inferência e compute estruturado, qualquer pico de demanda em produtos IA-embarcados (ex.: assistentes de código, ferramentas de observability inteligente) se traduz em degradação de SLA e risco de churn de clientes B2B altamente sensíveis a disponibilidade.</w:t>
      </w:r>
    </w:p>
    <w:p w14:paraId="6A124BD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18118A0">
          <v:rect id="_x0000_i1144" alt="" style="width:425.2pt;height:.05pt;mso-width-percent:0;mso-height-percent:0;mso-width-percent:0;mso-height-percent:0" o:hralign="center" o:hrstd="t" o:hr="t" fillcolor="#a0a0a0" stroked="f"/>
        </w:pict>
      </w:r>
    </w:p>
    <w:p w14:paraId="5AF3E5C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3.2.4 Benchmark Setorial</w:t>
      </w:r>
    </w:p>
    <w:p w14:paraId="59C39E8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especificamente entre empresas de grande porte que oferecem serviços digitais e plataformas de software, a média de maturidade em Dados e Tecnologia situa-se próxima de 3,5 — refletindo que players como ThoughtWorks, CI&amp;T e TOTVS já operam com data catalogs integrados ao SDLC, feature stores compartilhados entre squads de produto e plataformas MLOps como MLflow ou Vertex AI em uso produtivo. A Empresa Teste Maturidade IA, com scores entre 1,89 e 2,38 nos indicadores desta dimensão, encontra-se aproximadamente </w:t>
      </w:r>
      <w:r>
        <w:rPr>
          <w:rStyle w:val="Forte"/>
          <w:rFonts w:ascii="Calibri" w:hAnsi="Calibri" w:cs="Calibri"/>
          <w:color w:val="1E293B"/>
          <w:sz w:val="22"/>
          <w:szCs w:val="22"/>
        </w:rPr>
        <w:t>1,1 a 1,6 pontos abaixo desse benchmark</w:t>
      </w:r>
      <w:r>
        <w:rPr>
          <w:rFonts w:ascii="Calibri" w:hAnsi="Calibri" w:cs="Calibri"/>
          <w:color w:val="1E293B"/>
          <w:sz w:val="22"/>
          <w:szCs w:val="22"/>
        </w:rPr>
        <w:t xml:space="preserve"> em cada subcategoria — o que na prática significa que enquanto concorrentes já instrumentalizam observability de modelos com ferramentas como Evidently AI ou WhyLabs e provisionam GPU via Kubernetes com Karpenter para workloads de LLM fine-tuning, a Empresa Teste Maturidade IA ainda lida com ambientes de ML manualmente configurados e dados sem lineage declarado. Empresas de tech que cruzaram o limiar do Nível 3 do MIT CISR nesta dimensão reportam, conforme os Research Briefings de 2024–2025, ciclos de deploy de modelos 4–6× mais rápidos e redução de 40–60% no custo de manutenção de modelos legados — vantagem diretamente convertível em margem operacional e velocidade de go-to-market de novos produtos IA.</w:t>
      </w:r>
    </w:p>
    <w:p w14:paraId="40A5453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E376F3E">
          <v:rect id="_x0000_i1143" alt="" style="width:425.2pt;height:.05pt;mso-width-percent:0;mso-height-percent:0;mso-width-percent:0;mso-height-percent:0" o:hralign="center" o:hrstd="t" o:hr="t" fillcolor="#a0a0a0" stroked="f"/>
        </w:pict>
      </w:r>
    </w:p>
    <w:p w14:paraId="1F5DDE5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3.2.5 Recomendações Específicas</w:t>
      </w:r>
    </w:p>
    <w:p w14:paraId="6F28B89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Implementar Data Catalog com Lineage e Data Contracts (responde a Q1 e Q2)</w:t>
      </w:r>
    </w:p>
    <w:p w14:paraId="083EE0D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Adotar o </w:t>
      </w:r>
      <w:r>
        <w:rPr>
          <w:rStyle w:val="Forte"/>
          <w:rFonts w:ascii="Calibri" w:hAnsi="Calibri" w:cs="Calibri"/>
          <w:color w:val="1E293B"/>
          <w:sz w:val="22"/>
          <w:szCs w:val="22"/>
        </w:rPr>
        <w:t>DataHub (open-source LinkedIn)</w:t>
      </w:r>
      <w:r>
        <w:rPr>
          <w:rFonts w:ascii="Calibri" w:hAnsi="Calibri" w:cs="Calibri"/>
          <w:color w:val="1E293B"/>
          <w:sz w:val="22"/>
          <w:szCs w:val="22"/>
        </w:rPr>
        <w:t xml:space="preserve"> ou equivalente gerenciado (ex.: Atlan, Alation) como repositório central de metadados, conectado aos sistemas de origem (bancos de dados, data warehouses, streams Kafka). A iniciativa deve incluir a formalização de </w:t>
      </w:r>
      <w:r>
        <w:rPr>
          <w:rStyle w:val="Forte"/>
          <w:rFonts w:ascii="Calibri" w:hAnsi="Calibri" w:cs="Calibri"/>
          <w:color w:val="1E293B"/>
          <w:sz w:val="22"/>
          <w:szCs w:val="22"/>
        </w:rPr>
        <w:t>data contracts</w:t>
      </w:r>
      <w:r>
        <w:rPr>
          <w:rFonts w:ascii="Calibri" w:hAnsi="Calibri" w:cs="Calibri"/>
          <w:color w:val="1E293B"/>
          <w:sz w:val="22"/>
          <w:szCs w:val="22"/>
        </w:rPr>
        <w:t xml:space="preserve"> por domínio — especificando schema, SLAs de freshness, completude mínima e owner responsável — utilizando o </w:t>
      </w:r>
      <w:r>
        <w:rPr>
          <w:rStyle w:val="Forte"/>
          <w:rFonts w:ascii="Calibri" w:hAnsi="Calibri" w:cs="Calibri"/>
          <w:color w:val="1E293B"/>
          <w:sz w:val="22"/>
          <w:szCs w:val="22"/>
        </w:rPr>
        <w:t>Blueprint de Data Governance do Playbook Atlas</w:t>
      </w:r>
      <w:r>
        <w:rPr>
          <w:rFonts w:ascii="Calibri" w:hAnsi="Calibri" w:cs="Calibri"/>
          <w:color w:val="1E293B"/>
          <w:sz w:val="22"/>
          <w:szCs w:val="22"/>
        </w:rPr>
        <w:t xml:space="preserve"> (componente </w:t>
      </w:r>
      <w:r>
        <w:rPr>
          <w:rStyle w:val="nfase"/>
          <w:rFonts w:ascii="Calibri" w:hAnsi="Calibri" w:cs="Calibri"/>
          <w:color w:val="1E293B"/>
          <w:sz w:val="22"/>
          <w:szCs w:val="22"/>
        </w:rPr>
        <w:t>Data Contract Engine + Metadata Mesh Connector</w:t>
      </w:r>
      <w:r>
        <w:rPr>
          <w:rFonts w:ascii="Calibri" w:hAnsi="Calibri" w:cs="Calibri"/>
          <w:color w:val="1E293B"/>
          <w:sz w:val="22"/>
          <w:szCs w:val="22"/>
        </w:rPr>
        <w:t xml:space="preserve">). Para uma empresa de tecnologia, priorizar como primeiro domínio os dados de telemetria de produto (logs de uso, eventos de aplicação) garante impacto imediato nos modelos de IA embarcados. </w:t>
      </w:r>
      <w:r>
        <w:rPr>
          <w:rStyle w:val="Forte"/>
          <w:rFonts w:ascii="Calibri" w:hAnsi="Calibri" w:cs="Calibri"/>
          <w:color w:val="1E293B"/>
          <w:sz w:val="22"/>
          <w:szCs w:val="22"/>
        </w:rPr>
        <w:t>Meta</w:t>
      </w:r>
      <w:r>
        <w:rPr>
          <w:rFonts w:ascii="Calibri" w:hAnsi="Calibri" w:cs="Calibri"/>
          <w:color w:val="1E293B"/>
          <w:sz w:val="22"/>
          <w:szCs w:val="22"/>
        </w:rPr>
        <w:t>: 100% dos datasets críticos de IA catalogados com lineage em 12 meses.</w:t>
      </w:r>
    </w:p>
    <w:p w14:paraId="6F44330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Estruturar Plataforma MLOps com CI/CD de ML (responde a Q3 prioritariamente)</w:t>
      </w:r>
    </w:p>
    <w:p w14:paraId="26658F3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Implantar </w:t>
      </w:r>
      <w:r>
        <w:rPr>
          <w:rStyle w:val="Forte"/>
          <w:rFonts w:ascii="Calibri" w:hAnsi="Calibri" w:cs="Calibri"/>
          <w:color w:val="1E293B"/>
          <w:sz w:val="22"/>
          <w:szCs w:val="22"/>
        </w:rPr>
        <w:t>MLflow</w:t>
      </w:r>
      <w:r>
        <w:rPr>
          <w:rFonts w:ascii="Calibri" w:hAnsi="Calibri" w:cs="Calibri"/>
          <w:color w:val="1E293B"/>
          <w:sz w:val="22"/>
          <w:szCs w:val="22"/>
        </w:rPr>
        <w:t xml:space="preserve"> (tracking + model registry) integrado ao pipeline de CI/CD existente (GitHub Actions ou GitLab CI) como camada inicial, evoluindo para </w:t>
      </w:r>
      <w:r>
        <w:rPr>
          <w:rStyle w:val="Forte"/>
          <w:rFonts w:ascii="Calibri" w:hAnsi="Calibri" w:cs="Calibri"/>
          <w:color w:val="1E293B"/>
          <w:sz w:val="22"/>
          <w:szCs w:val="22"/>
        </w:rPr>
        <w:t>Kubeflow Pipelines</w:t>
      </w:r>
      <w:r>
        <w:rPr>
          <w:rFonts w:ascii="Calibri" w:hAnsi="Calibri" w:cs="Calibri"/>
          <w:color w:val="1E293B"/>
          <w:sz w:val="22"/>
          <w:szCs w:val="22"/>
        </w:rPr>
        <w:t xml:space="preserve"> ou </w:t>
      </w:r>
      <w:r>
        <w:rPr>
          <w:rStyle w:val="Forte"/>
          <w:rFonts w:ascii="Calibri" w:hAnsi="Calibri" w:cs="Calibri"/>
          <w:color w:val="1E293B"/>
          <w:sz w:val="22"/>
          <w:szCs w:val="22"/>
        </w:rPr>
        <w:t>ZenML</w:t>
      </w:r>
      <w:r>
        <w:rPr>
          <w:rFonts w:ascii="Calibri" w:hAnsi="Calibri" w:cs="Calibri"/>
          <w:color w:val="1E293B"/>
          <w:sz w:val="22"/>
          <w:szCs w:val="22"/>
        </w:rPr>
        <w:t xml:space="preserve"> para orquestração de treino. O padrão deve incluir: versionamento automático de datasets via DVC, gates de qualidade de modelo (threshold de performance antes de promoção para staging), e registro de experimentos com rastreabilidade end-to-end. O </w:t>
      </w:r>
      <w:r>
        <w:rPr>
          <w:rStyle w:val="Forte"/>
          <w:rFonts w:ascii="Calibri" w:hAnsi="Calibri" w:cs="Calibri"/>
          <w:color w:val="1E293B"/>
          <w:sz w:val="22"/>
          <w:szCs w:val="22"/>
        </w:rPr>
        <w:t>Playbook Atlas</w:t>
      </w:r>
      <w:r>
        <w:rPr>
          <w:rFonts w:ascii="Calibri" w:hAnsi="Calibri" w:cs="Calibri"/>
          <w:color w:val="1E293B"/>
          <w:sz w:val="22"/>
          <w:szCs w:val="22"/>
        </w:rPr>
        <w:t xml:space="preserve"> disponibiliza o acelerador </w:t>
      </w:r>
      <w:r>
        <w:rPr>
          <w:rStyle w:val="nfase"/>
          <w:rFonts w:ascii="Calibri" w:hAnsi="Calibri" w:cs="Calibri"/>
          <w:color w:val="1E293B"/>
          <w:sz w:val="22"/>
          <w:szCs w:val="22"/>
        </w:rPr>
        <w:t>MLOps Bootstrap Pipeline</w:t>
      </w:r>
      <w:r>
        <w:rPr>
          <w:rFonts w:ascii="Calibri" w:hAnsi="Calibri" w:cs="Calibri"/>
          <w:color w:val="1E293B"/>
          <w:sz w:val="22"/>
          <w:szCs w:val="22"/>
        </w:rPr>
        <w:t xml:space="preserve"> (componente </w:t>
      </w:r>
      <w:r>
        <w:rPr>
          <w:rStyle w:val="nfase"/>
          <w:rFonts w:ascii="Calibri" w:hAnsi="Calibri" w:cs="Calibri"/>
          <w:color w:val="1E293B"/>
          <w:sz w:val="22"/>
          <w:szCs w:val="22"/>
        </w:rPr>
        <w:t>Experiment Tracker + Model Registry + Drift Monitor Stack</w:t>
      </w:r>
      <w:r>
        <w:rPr>
          <w:rFonts w:ascii="Calibri" w:hAnsi="Calibri" w:cs="Calibri"/>
          <w:color w:val="1E293B"/>
          <w:sz w:val="22"/>
          <w:szCs w:val="22"/>
        </w:rPr>
        <w:t xml:space="preserve">), que reduz o tempo de setup de 8–12 semanas para 3–4 semanas. Alinhar ao framework </w:t>
      </w:r>
      <w:r>
        <w:rPr>
          <w:rStyle w:val="Forte"/>
          <w:rFonts w:ascii="Calibri" w:hAnsi="Calibri" w:cs="Calibri"/>
          <w:color w:val="1E293B"/>
          <w:sz w:val="22"/>
          <w:szCs w:val="22"/>
        </w:rPr>
        <w:t>DORA Metrics</w:t>
      </w:r>
      <w:r>
        <w:rPr>
          <w:rFonts w:ascii="Calibri" w:hAnsi="Calibri" w:cs="Calibri"/>
          <w:color w:val="1E293B"/>
          <w:sz w:val="22"/>
          <w:szCs w:val="22"/>
        </w:rPr>
        <w:t xml:space="preserve"> para medir deployment frequency e change failure rate de artefatos de ML — baseline atual estimado em "Low", meta em "Medium" em 6 meses e "High" em 12 meses.</w:t>
      </w:r>
    </w:p>
    <w:p w14:paraId="213439B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Provisionar Infraestrutura de Compute Elástica e Serving Layer (responde a Q4 e Q6)</w:t>
      </w:r>
    </w:p>
    <w:p w14:paraId="6B975B0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Configurar </w:t>
      </w:r>
      <w:r>
        <w:rPr>
          <w:rStyle w:val="Forte"/>
          <w:rFonts w:ascii="Calibri" w:hAnsi="Calibri" w:cs="Calibri"/>
          <w:color w:val="1E293B"/>
          <w:sz w:val="22"/>
          <w:szCs w:val="22"/>
        </w:rPr>
        <w:t>GPU spot instances</w:t>
      </w:r>
      <w:r>
        <w:rPr>
          <w:rFonts w:ascii="Calibri" w:hAnsi="Calibri" w:cs="Calibri"/>
          <w:color w:val="1E293B"/>
          <w:sz w:val="22"/>
          <w:szCs w:val="22"/>
        </w:rPr>
        <w:t xml:space="preserve"> (AWS p3/g4dn, GCP A2, ou Azure NCv3) gerenciadas via </w:t>
      </w:r>
      <w:r>
        <w:rPr>
          <w:rStyle w:val="Forte"/>
          <w:rFonts w:ascii="Calibri" w:hAnsi="Calibri" w:cs="Calibri"/>
          <w:color w:val="1E293B"/>
          <w:sz w:val="22"/>
          <w:szCs w:val="22"/>
        </w:rPr>
        <w:t>Kubernetes + Karpenter</w:t>
      </w:r>
      <w:r>
        <w:rPr>
          <w:rFonts w:ascii="Calibri" w:hAnsi="Calibri" w:cs="Calibri"/>
          <w:color w:val="1E293B"/>
          <w:sz w:val="22"/>
          <w:szCs w:val="22"/>
        </w:rPr>
        <w:t xml:space="preserve"> para cargas de treinamento, eliminando o gargalo de aprovação manual. Para inferência, adotar </w:t>
      </w:r>
      <w:r>
        <w:rPr>
          <w:rStyle w:val="Forte"/>
          <w:rFonts w:ascii="Calibri" w:hAnsi="Calibri" w:cs="Calibri"/>
          <w:color w:val="1E293B"/>
          <w:sz w:val="22"/>
          <w:szCs w:val="22"/>
        </w:rPr>
        <w:t>Ray Serve</w:t>
      </w:r>
      <w:r>
        <w:rPr>
          <w:rFonts w:ascii="Calibri" w:hAnsi="Calibri" w:cs="Calibri"/>
          <w:color w:val="1E293B"/>
          <w:sz w:val="22"/>
          <w:szCs w:val="22"/>
        </w:rPr>
        <w:t xml:space="preserve"> ou </w:t>
      </w:r>
      <w:r>
        <w:rPr>
          <w:rStyle w:val="Forte"/>
          <w:rFonts w:ascii="Calibri" w:hAnsi="Calibri" w:cs="Calibri"/>
          <w:color w:val="1E293B"/>
          <w:sz w:val="22"/>
          <w:szCs w:val="22"/>
        </w:rPr>
        <w:t>BentoML</w:t>
      </w:r>
      <w:r>
        <w:rPr>
          <w:rFonts w:ascii="Calibri" w:hAnsi="Calibri" w:cs="Calibri"/>
          <w:color w:val="1E293B"/>
          <w:sz w:val="22"/>
          <w:szCs w:val="22"/>
        </w:rPr>
        <w:t xml:space="preserve"> como serving layer com auto-scaling baseado em métricas de latência (P95 &lt; 200ms para endpoints síncronos). O </w:t>
      </w:r>
      <w:r>
        <w:rPr>
          <w:rStyle w:val="Forte"/>
          <w:rFonts w:ascii="Calibri" w:hAnsi="Calibri" w:cs="Calibri"/>
          <w:color w:val="1E293B"/>
          <w:sz w:val="22"/>
          <w:szCs w:val="22"/>
        </w:rPr>
        <w:t>Playbook Atlas</w:t>
      </w:r>
      <w:r>
        <w:rPr>
          <w:rFonts w:ascii="Calibri" w:hAnsi="Calibri" w:cs="Calibri"/>
          <w:color w:val="1E293B"/>
          <w:sz w:val="22"/>
          <w:szCs w:val="22"/>
        </w:rPr>
        <w:t xml:space="preserve"> oferece o blueprint </w:t>
      </w:r>
      <w:r>
        <w:rPr>
          <w:rStyle w:val="nfase"/>
          <w:rFonts w:ascii="Calibri" w:hAnsi="Calibri" w:cs="Calibri"/>
          <w:color w:val="1E293B"/>
          <w:sz w:val="22"/>
          <w:szCs w:val="22"/>
        </w:rPr>
        <w:t>Elastic ML Compute Provisioner</w:t>
      </w:r>
      <w:r>
        <w:rPr>
          <w:rFonts w:ascii="Calibri" w:hAnsi="Calibri" w:cs="Calibri"/>
          <w:color w:val="1E293B"/>
          <w:sz w:val="22"/>
          <w:szCs w:val="22"/>
        </w:rPr>
        <w:t xml:space="preserve"> com templates Terraform pré-validados para as três principais clouds. Implementar </w:t>
      </w:r>
      <w:r>
        <w:rPr>
          <w:rStyle w:val="Forte"/>
          <w:rFonts w:ascii="Calibri" w:hAnsi="Calibri" w:cs="Calibri"/>
          <w:color w:val="1E293B"/>
          <w:sz w:val="22"/>
          <w:szCs w:val="22"/>
        </w:rPr>
        <w:t>FinOps</w:t>
      </w:r>
      <w:r>
        <w:rPr>
          <w:rFonts w:ascii="Calibri" w:hAnsi="Calibri" w:cs="Calibri"/>
          <w:color w:val="1E293B"/>
          <w:sz w:val="22"/>
          <w:szCs w:val="22"/>
        </w:rPr>
        <w:t xml:space="preserve"> para compute de IA — tagging de workloads por squad, chargeback por experimento — para garantir visibilidade de custo e evitar sprawl de recursos GPU ociosos, problema endêmico em empresas de tech em fase de escalada de IA.</w:t>
      </w:r>
    </w:p>
    <w:p w14:paraId="288B0550"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Padronizar API Layer para Acesso a Dados e Modelos (responde a Q5)</w:t>
      </w:r>
    </w:p>
    <w:p w14:paraId="7857A0B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Criar um </w:t>
      </w:r>
      <w:r>
        <w:rPr>
          <w:rStyle w:val="Forte"/>
          <w:rFonts w:ascii="Calibri" w:hAnsi="Calibri" w:cs="Calibri"/>
          <w:color w:val="1E293B"/>
          <w:sz w:val="22"/>
          <w:szCs w:val="22"/>
        </w:rPr>
        <w:t>AI API Gateway</w:t>
      </w:r>
      <w:r>
        <w:rPr>
          <w:rFonts w:ascii="Calibri" w:hAnsi="Calibri" w:cs="Calibri"/>
          <w:color w:val="1E293B"/>
          <w:sz w:val="22"/>
          <w:szCs w:val="22"/>
        </w:rPr>
        <w:t xml:space="preserve"> sobre o data mesh existente, garantindo que qualquer squad consuma features e dados de treinamento via contratos versionados (OpenAPI 3.x + AsyncAPI para streams). Utilizar o </w:t>
      </w:r>
      <w:r>
        <w:rPr>
          <w:rStyle w:val="Forte"/>
          <w:rFonts w:ascii="Calibri" w:hAnsi="Calibri" w:cs="Calibri"/>
          <w:color w:val="1E293B"/>
          <w:sz w:val="22"/>
          <w:szCs w:val="22"/>
        </w:rPr>
        <w:t>Playbook Atlas</w:t>
      </w:r>
      <w:r>
        <w:rPr>
          <w:rFonts w:ascii="Calibri" w:hAnsi="Calibri" w:cs="Calibri"/>
          <w:color w:val="1E293B"/>
          <w:sz w:val="22"/>
          <w:szCs w:val="22"/>
        </w:rPr>
        <w:t xml:space="preserve"> acelerador </w:t>
      </w:r>
      <w:r>
        <w:rPr>
          <w:rStyle w:val="nfase"/>
          <w:rFonts w:ascii="Calibri" w:hAnsi="Calibri" w:cs="Calibri"/>
          <w:color w:val="1E293B"/>
          <w:sz w:val="22"/>
          <w:szCs w:val="22"/>
        </w:rPr>
        <w:t>Unified Data &amp; Model API Gateway</w:t>
      </w:r>
      <w:r>
        <w:rPr>
          <w:rFonts w:ascii="Calibri" w:hAnsi="Calibri" w:cs="Calibri"/>
          <w:color w:val="1E293B"/>
          <w:sz w:val="22"/>
          <w:szCs w:val="22"/>
        </w:rPr>
        <w:t xml:space="preserve"> (componente </w:t>
      </w:r>
      <w:r>
        <w:rPr>
          <w:rStyle w:val="nfase"/>
          <w:rFonts w:ascii="Calibri" w:hAnsi="Calibri" w:cs="Calibri"/>
          <w:color w:val="1E293B"/>
          <w:sz w:val="22"/>
          <w:szCs w:val="22"/>
        </w:rPr>
        <w:t>Feature Store Connector + Inference Gateway + Auth/Rate-Limit Layer</w:t>
      </w:r>
      <w:r>
        <w:rPr>
          <w:rFonts w:ascii="Calibri" w:hAnsi="Calibri" w:cs="Calibri"/>
          <w:color w:val="1E293B"/>
          <w:sz w:val="22"/>
          <w:szCs w:val="22"/>
        </w:rPr>
        <w:t xml:space="preserve">). Essa padronização é pré-requisito para o padrão </w:t>
      </w:r>
      <w:r>
        <w:rPr>
          <w:rStyle w:val="Forte"/>
          <w:rFonts w:ascii="Calibri" w:hAnsi="Calibri" w:cs="Calibri"/>
          <w:color w:val="1E293B"/>
          <w:sz w:val="22"/>
          <w:szCs w:val="22"/>
        </w:rPr>
        <w:t>NIST AI RMF</w:t>
      </w:r>
      <w:r>
        <w:rPr>
          <w:rFonts w:ascii="Calibri" w:hAnsi="Calibri" w:cs="Calibri"/>
          <w:color w:val="1E293B"/>
          <w:sz w:val="22"/>
          <w:szCs w:val="22"/>
        </w:rPr>
        <w:t xml:space="preserve"> (função </w:t>
      </w:r>
      <w:r>
        <w:rPr>
          <w:rStyle w:val="nfase"/>
          <w:rFonts w:ascii="Calibri" w:hAnsi="Calibri" w:cs="Calibri"/>
          <w:color w:val="1E293B"/>
          <w:sz w:val="22"/>
          <w:szCs w:val="22"/>
        </w:rPr>
        <w:t>Map</w:t>
      </w:r>
      <w:r>
        <w:rPr>
          <w:rFonts w:ascii="Calibri" w:hAnsi="Calibri" w:cs="Calibri"/>
          <w:color w:val="1E293B"/>
          <w:sz w:val="22"/>
          <w:szCs w:val="22"/>
        </w:rPr>
        <w:t xml:space="preserve"> — identificar fontes e fluxos de dados de IA) e para onboarding ágil de novos modelos sem retrabalho de integração por cada squad.</w:t>
      </w:r>
    </w:p>
    <w:p w14:paraId="54BD270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2C7BB47">
          <v:rect id="_x0000_i1142" alt="" style="width:425.2pt;height:.05pt;mso-width-percent:0;mso-height-percent:0;mso-width-percent:0;mso-height-percent:0" o:hralign="center" o:hrstd="t" o:hr="t" fillcolor="#a0a0a0" stroked="f"/>
        </w:pict>
      </w:r>
    </w:p>
    <w:p w14:paraId="778E36B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3.2.6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426"/>
        <w:gridCol w:w="1835"/>
        <w:gridCol w:w="2019"/>
        <w:gridCol w:w="2208"/>
      </w:tblGrid>
      <w:tr w:rsidR="00000000" w14:paraId="129063BD" w14:textId="77777777">
        <w:trPr>
          <w:divId w:val="222251698"/>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5D6E7A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0818FD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578F2D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C090EF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0B8EA1C" w14:textId="77777777">
        <w:trPr>
          <w:divId w:val="22225169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84F181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datasets de IA com entrada no catálogo centralizado e lineage declarado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5CCA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(estimado, sem catálogo 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DE0CF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dos datasets críticos catalogados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0A54E4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90%+ de cobertura, com data contracts formalizados por domínio</w:t>
            </w:r>
          </w:p>
        </w:tc>
      </w:tr>
      <w:tr w:rsidR="00000000" w14:paraId="55D541EA" w14:textId="77777777">
        <w:trPr>
          <w:divId w:val="22225169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0FA18B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Lead Time de Deploy de Modelo (criação de experimento →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593684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~6–10 semanas (deploy manual)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13EA9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3 semanas (CI/CD de ML implantado, MLflow + gates automáticos)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E1BA6A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1,5 semana (pipeline fully automated, DORA "High")</w:t>
            </w:r>
          </w:p>
        </w:tc>
      </w:tr>
      <w:tr w:rsidR="00000000" w14:paraId="3FB40BFF" w14:textId="77777777">
        <w:trPr>
          <w:divId w:val="22225169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4E816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de Qualidade de Dados (completude + acurácia nos datasets de treino críticos)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C72C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 (self-reported) / ~70% completude estimada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07D8A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85% completude + acurácia validada por data contract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0F79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95% com monitoramento contínuo de drift de distribuição</w:t>
            </w:r>
          </w:p>
        </w:tc>
      </w:tr>
      <w:tr w:rsidR="00000000" w14:paraId="1B7090E8" w14:textId="77777777">
        <w:trPr>
          <w:divId w:val="22225169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3D04D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Utilização efetiva de infraestrutura GPU/TPU (% do tempo provisionado em uso produtivo)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4EF5F5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40% (instâncias fixas, ociosas fora de treinos pontuais)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E2A09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65% (spot instances + Karpenter configurados)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DAF5C3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80% com FinOps dashboard ativo e chargeback por squad</w:t>
            </w:r>
          </w:p>
        </w:tc>
      </w:tr>
      <w:tr w:rsidR="00000000" w14:paraId="2DF1E7BD" w14:textId="77777777">
        <w:trPr>
          <w:divId w:val="22225169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873C43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de Modelos em Produção com Monitoramento de Drift Ativo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C3C153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(sem MLOps estruturado)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8072D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 dos modelos em produção com alertas de data/concept drift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62F8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modelos críticos monitorados via Evidently AI ou equivalente</w:t>
            </w:r>
          </w:p>
        </w:tc>
      </w:tr>
    </w:tbl>
    <w:p w14:paraId="34541301"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3.3 Dimensão — Governança e Risco — Score 2.02 · Nível 2</w:t>
      </w:r>
    </w:p>
    <w:p w14:paraId="1869E2E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3.3.1 Análise Diagnóstica</w:t>
      </w:r>
    </w:p>
    <w:p w14:paraId="3133AEE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dimensão de Governança e Risco revela um dos perfis mais preocupantes do assessment: um score médio de </w:t>
      </w:r>
      <w:r>
        <w:rPr>
          <w:rStyle w:val="Forte"/>
          <w:rFonts w:ascii="Calibri" w:hAnsi="Calibri" w:cs="Calibri"/>
          <w:color w:val="1E293B"/>
          <w:sz w:val="22"/>
          <w:szCs w:val="22"/>
        </w:rPr>
        <w:t>2,02</w:t>
      </w:r>
      <w:r>
        <w:rPr>
          <w:rFonts w:ascii="Calibri" w:hAnsi="Calibri" w:cs="Calibri"/>
          <w:color w:val="1E293B"/>
          <w:sz w:val="22"/>
          <w:szCs w:val="22"/>
        </w:rPr>
        <w:t xml:space="preserve"> — bem abaixo do score geral da empresa (2,31) e distante da média setorial de 3,5. O padrão das respostas evidencia que a Empresa Teste Maturidade IA possui iniciativas pontuais de conformidade, mas carece de uma arquitetura de governança sistêmica que orquestre essas iniciativas como um todo coerente. [Q1] e [Q2] atingiram 2,2 e 2,1 respectivamente, sugerindo que existe algum esboço de framework e algum nível de atenção à LGPD, mas sem formalização institucionalizada — típico do estágio </w:t>
      </w:r>
      <w:r>
        <w:rPr>
          <w:rStyle w:val="Forte"/>
          <w:rFonts w:ascii="Calibri" w:hAnsi="Calibri" w:cs="Calibri"/>
          <w:color w:val="1E293B"/>
          <w:sz w:val="22"/>
          <w:szCs w:val="22"/>
        </w:rPr>
        <w:t>Build Pilots and Capabilities (Nível 2)</w:t>
      </w:r>
      <w:r>
        <w:rPr>
          <w:rFonts w:ascii="Calibri" w:hAnsi="Calibri" w:cs="Calibri"/>
          <w:color w:val="1E293B"/>
          <w:sz w:val="22"/>
          <w:szCs w:val="22"/>
        </w:rPr>
        <w:t xml:space="preserve"> no MIT CISR Enterprise AI Maturity Model, em que políticas existem no papel, mas não foram internalizadas nos fluxos de trabalho de desenvolvimento. Em empresas de tecnologia desse porte, esse gap costuma se materializar como um conjunto de checklists de conformidade criados para auditorias pontuais, sem integração ao ciclo de vida dos modelos (ML lifecycle).</w:t>
      </w:r>
    </w:p>
    <w:p w14:paraId="26CAE4F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nó crítico está nos scores mais baixos: [Q4] Identificação e mitigação de vieses (1,8), [Q6] Auditoria regular de modelos em produção (1,9) e [Q5] Gestão de riscos específica para IA (2,0). Esses três indicadores revelam uma lacuna operacional severa: modelos chegam à produção sem mecanismos formais de detecção de drift comportamental, sem testes de fairness e sem um plano de resposta a incidentes de IA. Para uma empresa de tecnologia que entrega produtos baseados em IA para clientes corporativos — cenário provável para a Empresa Teste Maturidade IA, dada sua posição de mercado —, isso implica que riscos gerados pelos modelos treinados internamente podem se propagar para os ambientes dos clientes sem rastreabilidade. [Q3] — Comitê de Ética em IA (2,1) — sinaliza que discussões sobre ética são informais ou restritas a grupos ad hoc, sem mandato formal, poder de veto sobre lançamentos ou agenda regular publicada.</w:t>
      </w:r>
    </w:p>
    <w:p w14:paraId="50BD840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A combinação desses sinais aponta para um padrão recorrente em scale-ups de tecnologia que cresceram rapidamente via entrega de features: a governança de IA foi tratada como consequência do crescimento, não como pré-requisito. O resultado é uma dívida técnica regulatória acumulada — análoga à dívida técnica de código, mas com implicações jurídicas e reputacionais. A ausência de auditoria regular [Q6] é particularmente sintomática: modelos implantados há 12 ou 18 meses podem estar operando com distribuições de dados de entrada completamente diferentes daquelas usadas no treinamento, sem que ninguém tenha formalizado um gatilho de revisão. Em contextos como geração de código assistido por IA, classificação de tickets ou triagem de vulnerabilidades — use cases comuns em empresas de tecnologia — esse cenário representa risco operacional direto.</w:t>
      </w:r>
    </w:p>
    <w:p w14:paraId="1180081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FC9BAB4">
          <v:rect id="_x0000_i1141" alt="" style="width:425.2pt;height:.05pt;mso-width-percent:0;mso-height-percent:0;mso-width-percent:0;mso-height-percent:0" o:hralign="center" o:hrstd="t" o:hr="t" fillcolor="#a0a0a0" stroked="f"/>
        </w:pict>
      </w:r>
    </w:p>
    <w:p w14:paraId="77C44A7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3.3.2 Evidências Críticas</w:t>
      </w:r>
    </w:p>
    <w:p w14:paraId="406A138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w:t>
      </w:r>
    </w:p>
    <w:p w14:paraId="407BB00E" w14:textId="77777777" w:rsidR="00000000" w:rsidRDefault="00000000">
      <w:pPr>
        <w:numPr>
          <w:ilvl w:val="0"/>
          <w:numId w:val="1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Score 1,8 — Identificação e mitigação de vieses:</w:t>
      </w:r>
      <w:r>
        <w:rPr>
          <w:rFonts w:ascii="Calibri" w:eastAsia="Times New Roman" w:hAnsi="Calibri" w:cs="Calibri"/>
          <w:color w:val="1E293B"/>
          <w:sz w:val="22"/>
          <w:szCs w:val="22"/>
        </w:rPr>
        <w:t xml:space="preserve"> Pior score da dimensão. Indica ausência de ferramentas como IBM AI Fairness 360, Fairlearn ou testes de disparate impact integrados ao pipeline de CI/CD. Em empresas de tech que usam IA para triagem de candidatos, scoring de leads ou priorização de chamados de suporte, vieses não detectados geram passivos trabalhistas e comerciais.</w:t>
      </w:r>
    </w:p>
    <w:p w14:paraId="641DE1A6" w14:textId="77777777" w:rsidR="00000000" w:rsidRDefault="00000000">
      <w:pPr>
        <w:numPr>
          <w:ilvl w:val="0"/>
          <w:numId w:val="1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Score 1,9 — Auditoria regular de modelos em produção:</w:t>
      </w:r>
      <w:r>
        <w:rPr>
          <w:rFonts w:ascii="Calibri" w:eastAsia="Times New Roman" w:hAnsi="Calibri" w:cs="Calibri"/>
          <w:color w:val="1E293B"/>
          <w:sz w:val="22"/>
          <w:szCs w:val="22"/>
        </w:rPr>
        <w:t xml:space="preserve"> Sem cadência formal de auditoria (ex.: revisões trimestrais de performance, relatórios de model card atualizados), a empresa opera no escuro sobre degradação de modelos. Nenhum SLA de modelo (ex.: acurácia mínima aceitável) parece formalizado.</w:t>
      </w:r>
    </w:p>
    <w:p w14:paraId="696691F7" w14:textId="77777777" w:rsidR="00000000" w:rsidRDefault="00000000">
      <w:pPr>
        <w:numPr>
          <w:ilvl w:val="0"/>
          <w:numId w:val="1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Score 2,0 — Gestão de riscos específica para IA:</w:t>
      </w:r>
      <w:r>
        <w:rPr>
          <w:rFonts w:ascii="Calibri" w:eastAsia="Times New Roman" w:hAnsi="Calibri" w:cs="Calibri"/>
          <w:color w:val="1E293B"/>
          <w:sz w:val="22"/>
          <w:szCs w:val="22"/>
        </w:rPr>
        <w:t xml:space="preserve"> A gestão de riscos existente provavelmente deriva do framework geral de TI/segurança, sem categorias específicas para riscos de IA (ex.: risco de alucinação em LLMs, risco de model inversion, risco de supply chain em modelos open source).</w:t>
      </w:r>
    </w:p>
    <w:p w14:paraId="1EFAA9D1" w14:textId="77777777" w:rsidR="00000000" w:rsidRDefault="00000000">
      <w:pPr>
        <w:numPr>
          <w:ilvl w:val="0"/>
          <w:numId w:val="1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Score 2,1 — Comitê de ética em IA:</w:t>
      </w:r>
      <w:r>
        <w:rPr>
          <w:rFonts w:ascii="Calibri" w:eastAsia="Times New Roman" w:hAnsi="Calibri" w:cs="Calibri"/>
          <w:color w:val="1E293B"/>
          <w:sz w:val="22"/>
          <w:szCs w:val="22"/>
        </w:rPr>
        <w:t xml:space="preserve"> Estrutura informal, sem representação multidisciplinar (jurídico, produto, engenharia, compliance), sem registro de decisões e sem mecanismo de escalação para o board.</w:t>
      </w:r>
    </w:p>
    <w:p w14:paraId="11517EC9" w14:textId="77777777" w:rsidR="00000000" w:rsidRDefault="00000000">
      <w:pPr>
        <w:numPr>
          <w:ilvl w:val="0"/>
          <w:numId w:val="1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Score 2,1 — Conformidade LGPD/GDPR:</w:t>
      </w:r>
      <w:r>
        <w:rPr>
          <w:rFonts w:ascii="Calibri" w:eastAsia="Times New Roman" w:hAnsi="Calibri" w:cs="Calibri"/>
          <w:color w:val="1E293B"/>
          <w:sz w:val="22"/>
          <w:szCs w:val="22"/>
        </w:rPr>
        <w:t xml:space="preserve"> Conformidade provavelmente circunscrita ao DPO e ao jurídico, não traduzida em controles técnicos embutidos no treinamento e inferência dos modelos (ex.: data minimization, right to explanation nos outputs de modelos).</w:t>
      </w:r>
    </w:p>
    <w:p w14:paraId="7E799FE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 (relativo):</w:t>
      </w:r>
    </w:p>
    <w:p w14:paraId="1AF8A502" w14:textId="77777777" w:rsidR="00000000" w:rsidRDefault="00000000">
      <w:pPr>
        <w:numPr>
          <w:ilvl w:val="0"/>
          <w:numId w:val="1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Score 2,2 — Framework de governança:</w:t>
      </w:r>
      <w:r>
        <w:rPr>
          <w:rFonts w:ascii="Calibri" w:eastAsia="Times New Roman" w:hAnsi="Calibri" w:cs="Calibri"/>
          <w:color w:val="1E293B"/>
          <w:sz w:val="22"/>
          <w:szCs w:val="22"/>
        </w:rPr>
        <w:t xml:space="preserve"> Melhor score da dimensão; sugere que existe ao menos documentação inicial (política de uso responsável de IA, guidelines internos) — base a partir da qual evoluir.</w:t>
      </w:r>
    </w:p>
    <w:p w14:paraId="4FDEFED7" w14:textId="77777777" w:rsidR="00000000" w:rsidRDefault="00000000">
      <w:pPr>
        <w:numPr>
          <w:ilvl w:val="0"/>
          <w:numId w:val="15"/>
        </w:numPr>
        <w:spacing w:after="80"/>
        <w:ind w:left="1200"/>
        <w:rPr>
          <w:rFonts w:ascii="Calibri" w:eastAsia="Times New Roman" w:hAnsi="Calibri" w:cs="Calibri"/>
          <w:color w:val="1E293B"/>
          <w:sz w:val="22"/>
          <w:szCs w:val="22"/>
        </w:rPr>
      </w:pPr>
      <w:r>
        <w:rPr>
          <w:rFonts w:ascii="Calibri" w:eastAsia="Times New Roman" w:hAnsi="Calibri" w:cs="Calibri"/>
          <w:color w:val="1E293B"/>
          <w:sz w:val="22"/>
          <w:szCs w:val="22"/>
        </w:rPr>
        <w:t>Evidência de que a empresa reconhece a necessidade de governança, mesmo que a execução seja imatura — o que facilita a aceleração via estruturação formal.</w:t>
      </w:r>
    </w:p>
    <w:p w14:paraId="38E3520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D63130F">
          <v:rect id="_x0000_i1140" alt="" style="width:425.2pt;height:.05pt;mso-width-percent:0;mso-height-percent:0;mso-width-percent:0;mso-height-percent:0" o:hralign="center" o:hrstd="t" o:hr="t" fillcolor="#a0a0a0" stroked="f"/>
        </w:pict>
      </w:r>
    </w:p>
    <w:p w14:paraId="03CE9AC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3.3.3 Risco de Negócio</w:t>
      </w:r>
    </w:p>
    <w:p w14:paraId="2815968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permanência no nível atual de governança e risco expõe a Empresa Teste Maturidade IA a um risco de </w:t>
      </w:r>
      <w:r>
        <w:rPr>
          <w:rStyle w:val="Forte"/>
          <w:rFonts w:ascii="Calibri" w:hAnsi="Calibri" w:cs="Calibri"/>
          <w:color w:val="1E293B"/>
          <w:sz w:val="22"/>
          <w:szCs w:val="22"/>
        </w:rPr>
        <w:t>responsabilidade transferida para o cliente</w:t>
      </w:r>
      <w:r>
        <w:rPr>
          <w:rFonts w:ascii="Calibri" w:hAnsi="Calibri" w:cs="Calibri"/>
          <w:color w:val="1E293B"/>
          <w:sz w:val="22"/>
          <w:szCs w:val="22"/>
        </w:rPr>
        <w:t xml:space="preserve"> que pode comprometer contratos enterprise e impedir expansão internacional. Empresas de tecnologia que fornecem plataformas ou APIs com componentes de IA estão sujeitas a cláusulas contratuais de AI liability cada vez mais comuns em RFPs de grandes corporações e órgãos públicos brasileiros — e a ausência de um framework auditável ([Q1], [Q6]) e de evidências de conformidade com LGPD em nível técnico ([Q2]) pode se tornar critério eliminatório em processos de vendas B2B. Mais concretamente: sem auditoria regular de modelos ([Q6]) e sem gestão de vieses ([Q4]), um incidente de discriminação algorítmica ou vazamento de dados pessoais processados por um modelo pode acionar multas da ANPD (de até 2% do faturamento, limitadas a R$ 50 milhões por infração), além de danos reputacionais que em mercados de tecnologia têm efeito cascata sobre indicadores de NPS, churn e aquisição de novos clientes — riscos que nenhum SLA de uptime ou SoC 2 consegue mitigar isoladamente.</w:t>
      </w:r>
    </w:p>
    <w:p w14:paraId="5F3C434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9EC540F">
          <v:rect id="_x0000_i1139" alt="" style="width:425.2pt;height:.05pt;mso-width-percent:0;mso-height-percent:0;mso-width-percent:0;mso-height-percent:0" o:hralign="center" o:hrstd="t" o:hr="t" fillcolor="#a0a0a0" stroked="f"/>
        </w:pict>
      </w:r>
    </w:p>
    <w:p w14:paraId="25EF031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3.3.4 Benchmark Setorial</w:t>
      </w:r>
    </w:p>
    <w:p w14:paraId="5D57726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empresas de porte similar à Empresa Teste Maturidade IA que já atingiram o </w:t>
      </w:r>
      <w:r>
        <w:rPr>
          <w:rStyle w:val="Forte"/>
          <w:rFonts w:ascii="Calibri" w:hAnsi="Calibri" w:cs="Calibri"/>
          <w:color w:val="1E293B"/>
          <w:sz w:val="22"/>
          <w:szCs w:val="22"/>
        </w:rPr>
        <w:t>Nível 3 — Develop AI Ways of Working</w:t>
      </w:r>
      <w:r>
        <w:rPr>
          <w:rFonts w:ascii="Calibri" w:hAnsi="Calibri" w:cs="Calibri"/>
          <w:color w:val="1E293B"/>
          <w:sz w:val="22"/>
          <w:szCs w:val="22"/>
        </w:rPr>
        <w:t xml:space="preserve"> no MIT CISR operam com AI governance boards formalizados, model cards publicados para modelos críticos, revisões automáticas de drift integradas ao MLOps pipeline e programas de red-teaming em LLMs. Referências como Nubank, Totvs e empresas do ecossistema de fintechs e SaaS B2B no Brasil já documentam publicamente seus frameworks de IA responsável — em parte impulsionadas por exigências do Bacen (Resolução CMN 4.557 para financeiras) e de clientes enterprise que auditam fornecedores de tecnologia. Com um score de 2,02 frente à média setorial de 3,5, a Empresa Teste Maturidade IA acumula uma defasagem de </w:t>
      </w:r>
      <w:r>
        <w:rPr>
          <w:rStyle w:val="Forte"/>
          <w:rFonts w:ascii="Calibri" w:hAnsi="Calibri" w:cs="Calibri"/>
          <w:color w:val="1E293B"/>
          <w:sz w:val="22"/>
          <w:szCs w:val="22"/>
        </w:rPr>
        <w:t>1,48 pontos</w:t>
      </w:r>
      <w:r>
        <w:rPr>
          <w:rFonts w:ascii="Calibri" w:hAnsi="Calibri" w:cs="Calibri"/>
          <w:color w:val="1E293B"/>
          <w:sz w:val="22"/>
          <w:szCs w:val="22"/>
        </w:rPr>
        <w:t xml:space="preserve"> — equivalente a aproximadamente um estágio e meio de maturidade no modelo MIT CISR. Essa distância é particularmente crítica em governança e risco porque, diferentemente de capacidades técnicas que podem ser aceleradas com contratação ou ferramentas, a maturidade regulatória exige construção institucional — políticas, rituais, papéis e cultura —, o que implica horizonte de 12 a 24 meses para redução estrutural do gap, tornando urgente a mobilização imediata.</w:t>
      </w:r>
    </w:p>
    <w:p w14:paraId="7ECDF2A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1DDF48F">
          <v:rect id="_x0000_i1138" alt="" style="width:425.2pt;height:.05pt;mso-width-percent:0;mso-height-percent:0;mso-width-percent:0;mso-height-percent:0" o:hralign="center" o:hrstd="t" o:hr="t" fillcolor="#a0a0a0" stroked="f"/>
        </w:pict>
      </w:r>
    </w:p>
    <w:p w14:paraId="3DE3B55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3.3.5 Recomendações Específicas</w:t>
      </w:r>
    </w:p>
    <w:p w14:paraId="63B059A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Institucionalizar o AI Governance Framework com suporte do Playbook Atlas</w:t>
      </w:r>
    </w:p>
    <w:p w14:paraId="7F6CBC2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Elevar [Q1] de 2,2 para 3,5+ requer transformar documentos esparsos em um framework operacional vivo. Adotar o </w:t>
      </w:r>
      <w:r>
        <w:rPr>
          <w:rStyle w:val="Forte"/>
          <w:rFonts w:ascii="Calibri" w:hAnsi="Calibri" w:cs="Calibri"/>
          <w:color w:val="1E293B"/>
          <w:sz w:val="22"/>
          <w:szCs w:val="22"/>
        </w:rPr>
        <w:t>Blueprint de AI Governance Framework</w:t>
      </w:r>
      <w:r>
        <w:rPr>
          <w:rFonts w:ascii="Calibri" w:hAnsi="Calibri" w:cs="Calibri"/>
          <w:color w:val="1E293B"/>
          <w:sz w:val="22"/>
          <w:szCs w:val="22"/>
        </w:rPr>
        <w:t xml:space="preserve"> do Playbook Atlas (+1200 componentes), que inclui templates de política de uso responsável, fluxo de aprovação de modelos para produção (AI Model Gate), registro centralizado de modelos (Model Registry com metadata de risco) e processo de AI Impact Assessment pré-deploy. Integrar ao processo de desenvolvimento via pull request checks no GitHub/GitLab, de modo que nenhum modelo avance para produção sem aprovação documentada do comitê. Referenciar o </w:t>
      </w:r>
      <w:r>
        <w:rPr>
          <w:rStyle w:val="Forte"/>
          <w:rFonts w:ascii="Calibri" w:hAnsi="Calibri" w:cs="Calibri"/>
          <w:color w:val="1E293B"/>
          <w:sz w:val="22"/>
          <w:szCs w:val="22"/>
        </w:rPr>
        <w:t>NIST AI RMF (AI 100-1)</w:t>
      </w:r>
      <w:r>
        <w:rPr>
          <w:rFonts w:ascii="Calibri" w:hAnsi="Calibri" w:cs="Calibri"/>
          <w:color w:val="1E293B"/>
          <w:sz w:val="22"/>
          <w:szCs w:val="22"/>
        </w:rPr>
        <w:t xml:space="preserve"> como espinha dorsal do framework, mapeando as funções GOVERN, MAP, MEASURE e MANAGE para papéis internos concretos.</w:t>
      </w:r>
    </w:p>
    <w:p w14:paraId="097B058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Formalizar o Comitê de Ética em IA com mandato executivo</w:t>
      </w:r>
    </w:p>
    <w:p w14:paraId="4F8ED78A"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Responder diretamente a [Q3] (2,1): criar um </w:t>
      </w:r>
      <w:r>
        <w:rPr>
          <w:rStyle w:val="Forte"/>
          <w:rFonts w:ascii="Calibri" w:hAnsi="Calibri" w:cs="Calibri"/>
          <w:color w:val="1E293B"/>
          <w:sz w:val="22"/>
          <w:szCs w:val="22"/>
        </w:rPr>
        <w:t>AI Ethics &amp; Risk Committee</w:t>
      </w:r>
      <w:r>
        <w:rPr>
          <w:rFonts w:ascii="Calibri" w:hAnsi="Calibri" w:cs="Calibri"/>
          <w:color w:val="1E293B"/>
          <w:sz w:val="22"/>
          <w:szCs w:val="22"/>
        </w:rPr>
        <w:t xml:space="preserve"> com representação de Engenharia, Produto, Jurídico/Compliance, Segurança da Informação e, quando aplicável, representante de clientes estratégicos. Estabelecer cadência quinzenal com ata publicada internamente, poder de veto técnico sobre lançamentos de modelos de alto risco e agenda anual de revisão de políticas. Utilizar o </w:t>
      </w:r>
      <w:r>
        <w:rPr>
          <w:rStyle w:val="Forte"/>
          <w:rFonts w:ascii="Calibri" w:hAnsi="Calibri" w:cs="Calibri"/>
          <w:color w:val="1E293B"/>
          <w:sz w:val="22"/>
          <w:szCs w:val="22"/>
        </w:rPr>
        <w:t>Playbook Atlas — Motor de Comitê de Governança de IA</w:t>
      </w:r>
      <w:r>
        <w:rPr>
          <w:rFonts w:ascii="Calibri" w:hAnsi="Calibri" w:cs="Calibri"/>
          <w:color w:val="1E293B"/>
          <w:sz w:val="22"/>
          <w:szCs w:val="22"/>
        </w:rPr>
        <w:t xml:space="preserve"> para estruturar o regimento interno, fluxo de escalação e templates de deliberação. Benchmark: o AI Council da Thoughtworks e o Responsible AI governance framework da Microsoft são referências adaptáveis para empresas de tecnologia.</w:t>
      </w:r>
    </w:p>
    <w:p w14:paraId="35EFB36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Implementar pipeline de detecção de viés e fairness no MLOps</w:t>
      </w:r>
    </w:p>
    <w:p w14:paraId="47C17FC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Atacar o pior score da dimensão ([Q4], 1,8) com integração de ferramentas de fairness testing diretamente no CI/CD. Implementar </w:t>
      </w:r>
      <w:r>
        <w:rPr>
          <w:rStyle w:val="Forte"/>
          <w:rFonts w:ascii="Calibri" w:hAnsi="Calibri" w:cs="Calibri"/>
          <w:color w:val="1E293B"/>
          <w:sz w:val="22"/>
          <w:szCs w:val="22"/>
        </w:rPr>
        <w:t>Fairlearn</w:t>
      </w:r>
      <w:r>
        <w:rPr>
          <w:rFonts w:ascii="Calibri" w:hAnsi="Calibri" w:cs="Calibri"/>
          <w:color w:val="1E293B"/>
          <w:sz w:val="22"/>
          <w:szCs w:val="22"/>
        </w:rPr>
        <w:t xml:space="preserve"> ou </w:t>
      </w:r>
      <w:r>
        <w:rPr>
          <w:rStyle w:val="Forte"/>
          <w:rFonts w:ascii="Calibri" w:hAnsi="Calibri" w:cs="Calibri"/>
          <w:color w:val="1E293B"/>
          <w:sz w:val="22"/>
          <w:szCs w:val="22"/>
        </w:rPr>
        <w:t>IBM AI Fairness 360</w:t>
      </w:r>
      <w:r>
        <w:rPr>
          <w:rFonts w:ascii="Calibri" w:hAnsi="Calibri" w:cs="Calibri"/>
          <w:color w:val="1E293B"/>
          <w:sz w:val="22"/>
          <w:szCs w:val="22"/>
        </w:rPr>
        <w:t xml:space="preserve"> como estágio obrigatório no pipeline de treinamento, com relatórios automáticos de disparate impact, demographic parity e equalized odds para modelos que processem dados de pessoas. Para modelos de linguagem (LLMs usados em geração de código, chatbots ou suporte), adicionar testes de </w:t>
      </w:r>
      <w:r>
        <w:rPr>
          <w:rStyle w:val="Forte"/>
          <w:rFonts w:ascii="Calibri" w:hAnsi="Calibri" w:cs="Calibri"/>
          <w:color w:val="1E293B"/>
          <w:sz w:val="22"/>
          <w:szCs w:val="22"/>
        </w:rPr>
        <w:t>bias em prompts</w:t>
      </w:r>
      <w:r>
        <w:rPr>
          <w:rFonts w:ascii="Calibri" w:hAnsi="Calibri" w:cs="Calibri"/>
          <w:color w:val="1E293B"/>
          <w:sz w:val="22"/>
          <w:szCs w:val="22"/>
        </w:rPr>
        <w:t xml:space="preserve"> com frameworks como LangFair. O </w:t>
      </w:r>
      <w:r>
        <w:rPr>
          <w:rStyle w:val="Forte"/>
          <w:rFonts w:ascii="Calibri" w:hAnsi="Calibri" w:cs="Calibri"/>
          <w:color w:val="1E293B"/>
          <w:sz w:val="22"/>
          <w:szCs w:val="22"/>
        </w:rPr>
        <w:t>Playbook Atlas — Agente de Bias Detection</w:t>
      </w:r>
      <w:r>
        <w:rPr>
          <w:rFonts w:ascii="Calibri" w:hAnsi="Calibri" w:cs="Calibri"/>
          <w:color w:val="1E293B"/>
          <w:sz w:val="22"/>
          <w:szCs w:val="22"/>
        </w:rPr>
        <w:t xml:space="preserve"> oferece integração nativa com pipelines MLflow/Kubeflow e gera relatórios estruturados para o comitê. Definir thresholds de aceitação por categoria de risco (ex.: disparate impact ratio ≥ 0,8 como gate de deploy).</w:t>
      </w:r>
    </w:p>
    <w:p w14:paraId="6550ED6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Instaurar regime de auditoria contínua de modelos em produção</w:t>
      </w:r>
    </w:p>
    <w:p w14:paraId="6CB18ED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Endereçar [Q6] (1,9) e [Q5] (2,0) com a criação de um </w:t>
      </w:r>
      <w:r>
        <w:rPr>
          <w:rStyle w:val="Forte"/>
          <w:rFonts w:ascii="Calibri" w:hAnsi="Calibri" w:cs="Calibri"/>
          <w:color w:val="1E293B"/>
          <w:sz w:val="22"/>
          <w:szCs w:val="22"/>
        </w:rPr>
        <w:t>Model Health Dashboard</w:t>
      </w:r>
      <w:r>
        <w:rPr>
          <w:rFonts w:ascii="Calibri" w:hAnsi="Calibri" w:cs="Calibri"/>
          <w:color w:val="1E293B"/>
          <w:sz w:val="22"/>
          <w:szCs w:val="22"/>
        </w:rPr>
        <w:t xml:space="preserve"> — cadência de monitoramento de data drift, concept drift e performance degradation usando </w:t>
      </w:r>
      <w:r>
        <w:rPr>
          <w:rStyle w:val="Forte"/>
          <w:rFonts w:ascii="Calibri" w:hAnsi="Calibri" w:cs="Calibri"/>
          <w:color w:val="1E293B"/>
          <w:sz w:val="22"/>
          <w:szCs w:val="22"/>
        </w:rPr>
        <w:t>Evidently AI</w:t>
      </w:r>
      <w:r>
        <w:rPr>
          <w:rFonts w:ascii="Calibri" w:hAnsi="Calibri" w:cs="Calibri"/>
          <w:color w:val="1E293B"/>
          <w:sz w:val="22"/>
          <w:szCs w:val="22"/>
        </w:rPr>
        <w:t xml:space="preserve"> ou </w:t>
      </w:r>
      <w:r>
        <w:rPr>
          <w:rStyle w:val="Forte"/>
          <w:rFonts w:ascii="Calibri" w:hAnsi="Calibri" w:cs="Calibri"/>
          <w:color w:val="1E293B"/>
          <w:sz w:val="22"/>
          <w:szCs w:val="22"/>
        </w:rPr>
        <w:t>Arize Phoenix</w:t>
      </w:r>
      <w:r>
        <w:rPr>
          <w:rFonts w:ascii="Calibri" w:hAnsi="Calibri" w:cs="Calibri"/>
          <w:color w:val="1E293B"/>
          <w:sz w:val="22"/>
          <w:szCs w:val="22"/>
        </w:rPr>
        <w:t xml:space="preserve"> integrados ao stack observability existente (ex.: Datadog, Grafana). Definir SLAs de modelo: acurácia mínima, taxa de erro máxima e threshold de drift que dispara revisão obrigatória. Estabelecer ciclo trimestral de auditoria formal com relatório para o comitê de governança. Para modelos com dados pessoais, garantir que os logs de inferência atendam ao </w:t>
      </w:r>
      <w:r>
        <w:rPr>
          <w:rStyle w:val="Forte"/>
          <w:rFonts w:ascii="Calibri" w:hAnsi="Calibri" w:cs="Calibri"/>
          <w:color w:val="1E293B"/>
          <w:sz w:val="22"/>
          <w:szCs w:val="22"/>
        </w:rPr>
        <w:t>direito de explicação</w:t>
      </w:r>
      <w:r>
        <w:rPr>
          <w:rFonts w:ascii="Calibri" w:hAnsi="Calibri" w:cs="Calibri"/>
          <w:color w:val="1E293B"/>
          <w:sz w:val="22"/>
          <w:szCs w:val="22"/>
        </w:rPr>
        <w:t xml:space="preserve"> previsto na LGPD (Art. 20), documentando a lógica de decisão de forma auditável. O </w:t>
      </w:r>
      <w:r>
        <w:rPr>
          <w:rStyle w:val="Forte"/>
          <w:rFonts w:ascii="Calibri" w:hAnsi="Calibri" w:cs="Calibri"/>
          <w:color w:val="1E293B"/>
          <w:sz w:val="22"/>
          <w:szCs w:val="22"/>
        </w:rPr>
        <w:t>Playbook Atlas — Blueprint MLOps Observability</w:t>
      </w:r>
      <w:r>
        <w:rPr>
          <w:rFonts w:ascii="Calibri" w:hAnsi="Calibri" w:cs="Calibri"/>
          <w:color w:val="1E293B"/>
          <w:sz w:val="22"/>
          <w:szCs w:val="22"/>
        </w:rPr>
        <w:t xml:space="preserve"> fornece o template de Model Card atualizado automaticamente via CI/CD.</w:t>
      </w:r>
    </w:p>
    <w:p w14:paraId="72C2C8C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7C29B37">
          <v:rect id="_x0000_i1137" alt="" style="width:425.2pt;height:.05pt;mso-width-percent:0;mso-height-percent:0;mso-width-percent:0;mso-height-percent:0" o:hralign="center" o:hrstd="t" o:hr="t" fillcolor="#a0a0a0" stroked="f"/>
        </w:pict>
      </w:r>
    </w:p>
    <w:p w14:paraId="359DEE0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3.3.6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3266"/>
        <w:gridCol w:w="1478"/>
        <w:gridCol w:w="1747"/>
        <w:gridCol w:w="1997"/>
      </w:tblGrid>
      <w:tr w:rsidR="00000000" w14:paraId="460579AE" w14:textId="77777777">
        <w:trPr>
          <w:divId w:val="94252069"/>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6C1A47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DCF30D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0925AA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9ABFC9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1D0F01E0" w14:textId="77777777">
        <w:trPr>
          <w:divId w:val="942520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19DFB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modelos em produção com Model Card atualizado e aprovado pelo comitê</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AA8C26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36CF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C2179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95%</w:t>
            </w:r>
          </w:p>
        </w:tc>
      </w:tr>
      <w:tr w:rsidR="00000000" w14:paraId="55AD8A28" w14:textId="77777777">
        <w:trPr>
          <w:divId w:val="9425206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C7ACF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médio da dimensão 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E4266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46BCAD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5212F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w:t>
            </w:r>
          </w:p>
        </w:tc>
      </w:tr>
      <w:tr w:rsidR="00000000" w14:paraId="06B6C2A4" w14:textId="77777777">
        <w:trPr>
          <w:divId w:val="942520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D99FBD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Tempo médio para resolução de incidente de IA (MTTRI — Mean Time to Resolve AI Incident)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605D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mensurado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F38A4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72h definido e testado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80C9B8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48h com playbook automatizado</w:t>
            </w:r>
          </w:p>
        </w:tc>
      </w:tr>
      <w:tr w:rsidR="00000000" w14:paraId="6C76F6A5" w14:textId="77777777">
        <w:trPr>
          <w:divId w:val="9425206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55BD1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pipelines de treinamento com fairness gate ativo no CI/CD</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43AE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F8E8A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6A562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85%</w:t>
            </w:r>
          </w:p>
        </w:tc>
      </w:tr>
      <w:tr w:rsidR="00000000" w14:paraId="4E9CD639" w14:textId="77777777">
        <w:trPr>
          <w:divId w:val="942520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E0FCC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Nº de reuniões documentadas do AI Ethics &amp; Risk Committee por trimestre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4EE45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(informal)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199D8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 (1 por mês + revisão trimestral)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20424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 (cadência quinzenal consolidada)</w:t>
            </w:r>
          </w:p>
        </w:tc>
      </w:tr>
    </w:tbl>
    <w:p w14:paraId="71D31668"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3.4 Dimensão — Pessoas e Cultura — Score 2.71 · Nível 3</w:t>
      </w:r>
    </w:p>
    <w:p w14:paraId="4A0F7B7B"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3.4.1 Análise Diagnóstica</w:t>
      </w:r>
    </w:p>
    <w:p w14:paraId="4F01068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dimensão de </w:t>
      </w:r>
      <w:r>
        <w:rPr>
          <w:rStyle w:val="Forte"/>
          <w:rFonts w:ascii="Calibri" w:hAnsi="Calibri" w:cs="Calibri"/>
          <w:color w:val="1E293B"/>
          <w:sz w:val="22"/>
          <w:szCs w:val="22"/>
        </w:rPr>
        <w:t>Pessoas e Cultura</w:t>
      </w:r>
      <w:r>
        <w:rPr>
          <w:rFonts w:ascii="Calibri" w:hAnsi="Calibri" w:cs="Calibri"/>
          <w:color w:val="1E293B"/>
          <w:sz w:val="22"/>
          <w:szCs w:val="22"/>
        </w:rPr>
        <w:t xml:space="preserve"> da Empresa Teste Maturidade IA revela um perfil que o MIT CISR classifica como típico do estágio 2 (</w:t>
      </w:r>
      <w:r>
        <w:rPr>
          <w:rStyle w:val="nfase"/>
          <w:rFonts w:ascii="Calibri" w:hAnsi="Calibri" w:cs="Calibri"/>
          <w:color w:val="1E293B"/>
          <w:sz w:val="22"/>
          <w:szCs w:val="22"/>
        </w:rPr>
        <w:t>Build Pilots and Capabilities</w:t>
      </w:r>
      <w:r>
        <w:rPr>
          <w:rFonts w:ascii="Calibri" w:hAnsi="Calibri" w:cs="Calibri"/>
          <w:color w:val="1E293B"/>
          <w:sz w:val="22"/>
          <w:szCs w:val="22"/>
        </w:rPr>
        <w:t xml:space="preserve">): há massa crítica técnica suficiente para sustentar experimentos pontuais, mas os alicerces humanos e culturais necessários para escalar IA de forma sistemática ainda apresentam fraturas visíveis. O score composto de </w:t>
      </w:r>
      <w:r>
        <w:rPr>
          <w:rStyle w:val="Forte"/>
          <w:rFonts w:ascii="Calibri" w:hAnsi="Calibri" w:cs="Calibri"/>
          <w:color w:val="1E293B"/>
          <w:sz w:val="22"/>
          <w:szCs w:val="22"/>
        </w:rPr>
        <w:t>2.74</w:t>
      </w:r>
      <w:r>
        <w:rPr>
          <w:rFonts w:ascii="Calibri" w:hAnsi="Calibri" w:cs="Calibri"/>
          <w:color w:val="1E293B"/>
          <w:sz w:val="22"/>
          <w:szCs w:val="22"/>
        </w:rPr>
        <w:t xml:space="preserve"> — acima do score geral da empresa (2.31), mas 0,76 ponto abaixo da média setorial de 3,5 — indica que a organização acumulou capacidade técnica heterogênea sem, contudo, construir os andaimes organizacionais que convertem talentos individuais em vantagem competitiva duradoura.</w:t>
      </w:r>
    </w:p>
    <w:p w14:paraId="7563877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leitura granular dos dados expõe uma tensão estrutural. [Q3] </w:t>
      </w:r>
      <w:r>
        <w:rPr>
          <w:rStyle w:val="nfase"/>
          <w:rFonts w:ascii="Calibri" w:hAnsi="Calibri" w:cs="Calibri"/>
          <w:color w:val="1E293B"/>
          <w:sz w:val="22"/>
          <w:szCs w:val="22"/>
        </w:rPr>
        <w:t>Cultura de experimentação</w:t>
      </w:r>
      <w:r>
        <w:rPr>
          <w:rFonts w:ascii="Calibri" w:hAnsi="Calibri" w:cs="Calibri"/>
          <w:color w:val="1E293B"/>
          <w:sz w:val="22"/>
          <w:szCs w:val="22"/>
        </w:rPr>
        <w:t xml:space="preserve"> (3,0) e [Q1] </w:t>
      </w:r>
      <w:r>
        <w:rPr>
          <w:rStyle w:val="nfase"/>
          <w:rFonts w:ascii="Calibri" w:hAnsi="Calibri" w:cs="Calibri"/>
          <w:color w:val="1E293B"/>
          <w:sz w:val="22"/>
          <w:szCs w:val="22"/>
        </w:rPr>
        <w:t>Disponibilidade de talentos</w:t>
      </w:r>
      <w:r>
        <w:rPr>
          <w:rFonts w:ascii="Calibri" w:hAnsi="Calibri" w:cs="Calibri"/>
          <w:color w:val="1E293B"/>
          <w:sz w:val="22"/>
          <w:szCs w:val="22"/>
        </w:rPr>
        <w:t xml:space="preserve"> (2,78) e [Q2] </w:t>
      </w:r>
      <w:r>
        <w:rPr>
          <w:rStyle w:val="nfase"/>
          <w:rFonts w:ascii="Calibri" w:hAnsi="Calibri" w:cs="Calibri"/>
          <w:color w:val="1E293B"/>
          <w:sz w:val="22"/>
          <w:szCs w:val="22"/>
        </w:rPr>
        <w:t>Programa de capacitação</w:t>
      </w:r>
      <w:r>
        <w:rPr>
          <w:rFonts w:ascii="Calibri" w:hAnsi="Calibri" w:cs="Calibri"/>
          <w:color w:val="1E293B"/>
          <w:sz w:val="22"/>
          <w:szCs w:val="22"/>
        </w:rPr>
        <w:t xml:space="preserve"> (2,78) formam o segmento mais saudável: a empresa contrata cientistas de dados e engenheiros de ML, realiza alguma iniciativa de treinamento e tolera falhas em projetos-piloto. Esse conjunto reflete o perfil típico de empresas de tecnologia que cresceram organicamente em IA a partir de squads de produto — a experimentação existe, mas é cultural de nicho, não institucional. Já [Q5] </w:t>
      </w:r>
      <w:r>
        <w:rPr>
          <w:rStyle w:val="nfase"/>
          <w:rFonts w:ascii="Calibri" w:hAnsi="Calibri" w:cs="Calibri"/>
          <w:color w:val="1E293B"/>
          <w:sz w:val="22"/>
          <w:szCs w:val="22"/>
        </w:rPr>
        <w:t>Colaboração técnica-negócio</w:t>
      </w:r>
      <w:r>
        <w:rPr>
          <w:rFonts w:ascii="Calibri" w:hAnsi="Calibri" w:cs="Calibri"/>
          <w:color w:val="1E293B"/>
          <w:sz w:val="22"/>
          <w:szCs w:val="22"/>
        </w:rPr>
        <w:t xml:space="preserve"> (2,75) e [Q6] </w:t>
      </w:r>
      <w:r>
        <w:rPr>
          <w:rStyle w:val="nfase"/>
          <w:rFonts w:ascii="Calibri" w:hAnsi="Calibri" w:cs="Calibri"/>
          <w:color w:val="1E293B"/>
          <w:sz w:val="22"/>
          <w:szCs w:val="22"/>
        </w:rPr>
        <w:t>Atração e retenção de talentos</w:t>
      </w:r>
      <w:r>
        <w:rPr>
          <w:rFonts w:ascii="Calibri" w:hAnsi="Calibri" w:cs="Calibri"/>
          <w:color w:val="1E293B"/>
          <w:sz w:val="22"/>
          <w:szCs w:val="22"/>
        </w:rPr>
        <w:t xml:space="preserve"> (2,63) apontam para atritos de interface: o conhecimento de IA tende a concentrar-se em células técnicas isoladas, sem os </w:t>
      </w:r>
      <w:r>
        <w:rPr>
          <w:rStyle w:val="nfase"/>
          <w:rFonts w:ascii="Calibri" w:hAnsi="Calibri" w:cs="Calibri"/>
          <w:color w:val="1E293B"/>
          <w:sz w:val="22"/>
          <w:szCs w:val="22"/>
        </w:rPr>
        <w:t>translators</w:t>
      </w:r>
      <w:r>
        <w:rPr>
          <w:rFonts w:ascii="Calibri" w:hAnsi="Calibri" w:cs="Calibri"/>
          <w:color w:val="1E293B"/>
          <w:sz w:val="22"/>
          <w:szCs w:val="22"/>
        </w:rPr>
        <w:t xml:space="preserve"> — perfis capazes de transformar requisitos de negócio em especificações de modelo e vice-versa — que empresas como ThoughtWorks e CI&amp;T amadureceram como diferencial competitivo.</w:t>
      </w:r>
    </w:p>
    <w:p w14:paraId="06518D3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dado mais crítico desta dimensão, contudo, é [Q4] </w:t>
      </w:r>
      <w:r>
        <w:rPr>
          <w:rStyle w:val="nfase"/>
          <w:rFonts w:ascii="Calibri" w:hAnsi="Calibri" w:cs="Calibri"/>
          <w:color w:val="1E293B"/>
          <w:sz w:val="22"/>
          <w:szCs w:val="22"/>
        </w:rPr>
        <w:t>Plano de carreira para profissionais de IA</w:t>
      </w:r>
      <w:r>
        <w:rPr>
          <w:rFonts w:ascii="Calibri" w:hAnsi="Calibri" w:cs="Calibri"/>
          <w:color w:val="1E293B"/>
          <w:sz w:val="22"/>
          <w:szCs w:val="22"/>
        </w:rPr>
        <w:t xml:space="preserve"> (1,57): a pior marcação individual de toda a dimensão. No contexto de uma empresa de tecnologia de grande porte que compete por engenheiros de ML, MLOps engineers e AI product managers no mesmo mercado que Nubank, iFood e Stone — além de subsidiárias de BigTechs instaladas no Brasil —, a ausência de trajetória profissional formalizada para esses perfis transforma qualquer esforço de contratação em um balde furado. Profissionais de IA sênior tipicamente buscam, além de remuneração competitiva, clareza sobre progressão técnica (individual contributor tracks), exposição a projetos de impacto mensurável e reconhecimento por publicações ou open source — elementos que raramente emergem de forma espontânea sem política de carreira deliberada.</w:t>
      </w:r>
    </w:p>
    <w:p w14:paraId="01A369D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DC10539">
          <v:rect id="_x0000_i1136" alt="" style="width:425.2pt;height:.05pt;mso-width-percent:0;mso-height-percent:0;mso-width-percent:0;mso-height-percent:0" o:hralign="center" o:hrstd="t" o:hr="t" fillcolor="#a0a0a0" stroked="f"/>
        </w:pict>
      </w:r>
    </w:p>
    <w:p w14:paraId="75206EC3"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3.4.2 Evidências Críticas</w:t>
      </w:r>
    </w:p>
    <w:p w14:paraId="7846333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Indicadores que sustentaram o score (forças relativas):</w:t>
      </w:r>
    </w:p>
    <w:p w14:paraId="38288EE4" w14:textId="77777777" w:rsidR="00000000" w:rsidRDefault="00000000">
      <w:pPr>
        <w:numPr>
          <w:ilvl w:val="0"/>
          <w:numId w:val="1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Cultura de experimentação → 3,0</w:t>
      </w:r>
      <w:r>
        <w:rPr>
          <w:rFonts w:ascii="Calibri" w:eastAsia="Times New Roman" w:hAnsi="Calibri" w:cs="Calibri"/>
          <w:color w:val="1E293B"/>
          <w:sz w:val="22"/>
          <w:szCs w:val="22"/>
        </w:rPr>
        <w:t>: acima da média da própria dimensão; indica que falhas em pilotos de IA não geram punição explícita e que squads técnicos têm autonomia para testar abordagens — base necessária para transitar ao estágio 3 do MIT CISR.</w:t>
      </w:r>
    </w:p>
    <w:p w14:paraId="06FE91AE" w14:textId="77777777" w:rsidR="00000000" w:rsidRDefault="00000000">
      <w:pPr>
        <w:numPr>
          <w:ilvl w:val="0"/>
          <w:numId w:val="1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Talentos de IA presentes → 2,78</w:t>
      </w:r>
      <w:r>
        <w:rPr>
          <w:rFonts w:ascii="Calibri" w:eastAsia="Times New Roman" w:hAnsi="Calibri" w:cs="Calibri"/>
          <w:color w:val="1E293B"/>
          <w:sz w:val="22"/>
          <w:szCs w:val="22"/>
        </w:rPr>
        <w:t>: há cientistas de dados e engenheiros de ML formalmente alocados, o que confirma que a organização superou o estágio de "IA como buzzword" e possui ativos humanos reais.</w:t>
      </w:r>
    </w:p>
    <w:p w14:paraId="6F27734F" w14:textId="77777777" w:rsidR="00000000" w:rsidRDefault="00000000">
      <w:pPr>
        <w:numPr>
          <w:ilvl w:val="0"/>
          <w:numId w:val="1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Programa de capacitação → 2,78</w:t>
      </w:r>
      <w:r>
        <w:rPr>
          <w:rFonts w:ascii="Calibri" w:eastAsia="Times New Roman" w:hAnsi="Calibri" w:cs="Calibri"/>
          <w:color w:val="1E293B"/>
          <w:sz w:val="22"/>
          <w:szCs w:val="22"/>
        </w:rPr>
        <w:t>: alguma estrutura de upskilling existe (provavelmente iniciativas pontuais como trilhas Coursera/AWS/Google, hackathons ou comunidades internas), ainda que não sistematizadas por cargo ou jornada de desenvolvimento.</w:t>
      </w:r>
    </w:p>
    <w:p w14:paraId="577F994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Indicadores que puxaram o score para baixo (vulnerabilidades críticas):</w:t>
      </w:r>
    </w:p>
    <w:p w14:paraId="552740AF" w14:textId="77777777" w:rsidR="00000000" w:rsidRDefault="00000000">
      <w:pPr>
        <w:numPr>
          <w:ilvl w:val="0"/>
          <w:numId w:val="1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Plano de carreira para IA → 1,57</w:t>
      </w:r>
      <w:r>
        <w:rPr>
          <w:rFonts w:ascii="Calibri" w:eastAsia="Times New Roman" w:hAnsi="Calibri" w:cs="Calibri"/>
          <w:color w:val="1E293B"/>
          <w:sz w:val="22"/>
          <w:szCs w:val="22"/>
        </w:rPr>
        <w:t xml:space="preserve"> </w:t>
      </w:r>
      <w:r>
        <w:rPr>
          <w:rStyle w:val="nfase"/>
          <w:rFonts w:ascii="Calibri" w:eastAsia="Times New Roman" w:hAnsi="Calibri" w:cs="Calibri"/>
          <w:color w:val="1E293B"/>
          <w:sz w:val="22"/>
          <w:szCs w:val="22"/>
        </w:rPr>
        <w:t>(pior score da dimensão)</w:t>
      </w:r>
      <w:r>
        <w:rPr>
          <w:rFonts w:ascii="Calibri" w:eastAsia="Times New Roman" w:hAnsi="Calibri" w:cs="Calibri"/>
          <w:color w:val="1E293B"/>
          <w:sz w:val="22"/>
          <w:szCs w:val="22"/>
        </w:rPr>
        <w:t>: ausência quase total de frameworks de progressão específicos para ML Engineers, Data Scientists e AI Product Managers — diferente de trilhas genéricas de engenharia de software. Sinaliza que a empresa ainda trata profissionais de IA como variantes de desenvolvedores convencionais.</w:t>
      </w:r>
    </w:p>
    <w:p w14:paraId="5DE94CE5" w14:textId="77777777" w:rsidR="00000000" w:rsidRDefault="00000000">
      <w:pPr>
        <w:numPr>
          <w:ilvl w:val="0"/>
          <w:numId w:val="1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Atração e retenção → 2,63</w:t>
      </w:r>
      <w:r>
        <w:rPr>
          <w:rFonts w:ascii="Calibri" w:eastAsia="Times New Roman" w:hAnsi="Calibri" w:cs="Calibri"/>
          <w:color w:val="1E293B"/>
          <w:sz w:val="22"/>
          <w:szCs w:val="22"/>
        </w:rPr>
        <w:t>: dificuldade de competir no mercado de talentos de IA, provavelmente agravada pela falta do plano de carreira ([Q4]) e por employer branding de IA incipiente.</w:t>
      </w:r>
    </w:p>
    <w:p w14:paraId="5A37C66E" w14:textId="77777777" w:rsidR="00000000" w:rsidRDefault="00000000">
      <w:pPr>
        <w:numPr>
          <w:ilvl w:val="0"/>
          <w:numId w:val="1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Colaboração técnica-negócio → 2,75</w:t>
      </w:r>
      <w:r>
        <w:rPr>
          <w:rFonts w:ascii="Calibri" w:eastAsia="Times New Roman" w:hAnsi="Calibri" w:cs="Calibri"/>
          <w:color w:val="1E293B"/>
          <w:sz w:val="22"/>
          <w:szCs w:val="22"/>
        </w:rPr>
        <w:t>: gap entre times que constroem modelos e áreas que deveriam consumi-los — padrão de "IA em silo" que impede que casos de uso gerem valor real e retroalimentem a cultura positivamente.</w:t>
      </w:r>
    </w:p>
    <w:p w14:paraId="28C4509D" w14:textId="77777777" w:rsidR="00000000" w:rsidRDefault="00000000">
      <w:pPr>
        <w:numPr>
          <w:ilvl w:val="0"/>
          <w:numId w:val="1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Cultura de experimentação → 3,0</w:t>
      </w:r>
      <w:r>
        <w:rPr>
          <w:rFonts w:ascii="Calibri" w:eastAsia="Times New Roman" w:hAnsi="Calibri" w:cs="Calibri"/>
          <w:color w:val="1E293B"/>
          <w:sz w:val="22"/>
          <w:szCs w:val="22"/>
        </w:rPr>
        <w:t xml:space="preserve"> </w:t>
      </w:r>
      <w:r>
        <w:rPr>
          <w:rStyle w:val="nfase"/>
          <w:rFonts w:ascii="Calibri" w:eastAsia="Times New Roman" w:hAnsi="Calibri" w:cs="Calibri"/>
          <w:color w:val="1E293B"/>
          <w:sz w:val="22"/>
          <w:szCs w:val="22"/>
        </w:rPr>
        <w:t>(fortaleza relativa, mas ainda abaixo do benchmark setorial de 3,5)</w:t>
      </w:r>
      <w:r>
        <w:rPr>
          <w:rFonts w:ascii="Calibri" w:eastAsia="Times New Roman" w:hAnsi="Calibri" w:cs="Calibri"/>
          <w:color w:val="1E293B"/>
          <w:sz w:val="22"/>
          <w:szCs w:val="22"/>
        </w:rPr>
        <w:t>: o apetite à experimentação não se traduz em processos formalizados de aprendizado (post-mortems de modelos, repositório de experimentos, cultura de MLflow/W&amp;B institucionais).</w:t>
      </w:r>
    </w:p>
    <w:p w14:paraId="0E556B08"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46003AB">
          <v:rect id="_x0000_i1135" alt="" style="width:425.2pt;height:.05pt;mso-width-percent:0;mso-height-percent:0;mso-width-percent:0;mso-height-percent:0" o:hralign="center" o:hrstd="t" o:hr="t" fillcolor="#a0a0a0" stroked="f"/>
        </w:pict>
      </w:r>
    </w:p>
    <w:p w14:paraId="7DF7DD21"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3.4.3 Risco de Negócio</w:t>
      </w:r>
    </w:p>
    <w:p w14:paraId="28EB494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uma empresa de tecnologia de grande porte, o risco central desta dimensão não é operacional imediato — é um risco de </w:t>
      </w:r>
      <w:r>
        <w:rPr>
          <w:rStyle w:val="Forte"/>
          <w:rFonts w:ascii="Calibri" w:hAnsi="Calibri" w:cs="Calibri"/>
          <w:color w:val="1E293B"/>
          <w:sz w:val="22"/>
          <w:szCs w:val="22"/>
        </w:rPr>
        <w:t>erosão de capacidade competitiva composta ao longo do tempo</w:t>
      </w:r>
      <w:r>
        <w:rPr>
          <w:rFonts w:ascii="Calibri" w:hAnsi="Calibri" w:cs="Calibri"/>
          <w:color w:val="1E293B"/>
          <w:sz w:val="22"/>
          <w:szCs w:val="22"/>
        </w:rPr>
        <w:t xml:space="preserve">. A ausência de plano de carreira para profissionais de IA ([Q4] = 1,57), combinada à dificuldade de retenção ([Q6] = 2,63), cria um ciclo de destruição de capital intelectual: a Empresa Teste Maturidade IA investe em contratar e desenvolver engenheiros de ML que, ao atingirem senioridade, não enxergam trajetória interna e migram para concorrentes com </w:t>
      </w:r>
      <w:r>
        <w:rPr>
          <w:rStyle w:val="nfase"/>
          <w:rFonts w:ascii="Calibri" w:hAnsi="Calibri" w:cs="Calibri"/>
          <w:color w:val="1E293B"/>
          <w:sz w:val="22"/>
          <w:szCs w:val="22"/>
        </w:rPr>
        <w:t>individual contributor tracks</w:t>
      </w:r>
      <w:r>
        <w:rPr>
          <w:rFonts w:ascii="Calibri" w:hAnsi="Calibri" w:cs="Calibri"/>
          <w:color w:val="1E293B"/>
          <w:sz w:val="22"/>
          <w:szCs w:val="22"/>
        </w:rPr>
        <w:t xml:space="preserve"> mais robustos — levando consigo conhecimento tácito sobre dados proprietários, arquiteturas de modelos e integrações de sistema que raramente estão documentadas. Esse fenômeno é especialmente destrutivo em IA porque o valor dos profissionais cresce de forma não linear com o tempo de exposição aos dados e problemas específicos do negócio; substituí-los com novos contratados reinicia o ciclo de aprendizado e atrasa em 12 a 18 meses qualquer iniciativa de escala. Em paralelo, a baixa colaboração entre técnicos e negócio ([Q5] = 2,75) eleva o risco de que os modelos desenvolvidos resolvam problemas tecnicamente elegantes, mas comercialmente irrelevantes — gerando frustração nas áreas de negócio e descrédito progressivo em relação ao valor da IA, o que retroalimenta negativamente a cultura de experimentação.</w:t>
      </w:r>
    </w:p>
    <w:p w14:paraId="6567003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FE3353F">
          <v:rect id="_x0000_i1134" alt="" style="width:425.2pt;height:.05pt;mso-width-percent:0;mso-height-percent:0;mso-width-percent:0;mso-height-percent:0" o:hralign="center" o:hrstd="t" o:hr="t" fillcolor="#a0a0a0" stroked="f"/>
        </w:pict>
      </w:r>
    </w:p>
    <w:p w14:paraId="3B80D6A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3.4.4 Benchmark Setorial</w:t>
      </w:r>
    </w:p>
    <w:p w14:paraId="58B7FB9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empresas de grande porte que atingiram a média de 3,5 nesta dimensão já estruturaram o que o MIT CISR denomina </w:t>
      </w:r>
      <w:r>
        <w:rPr>
          <w:rStyle w:val="nfase"/>
          <w:rFonts w:ascii="Calibri" w:hAnsi="Calibri" w:cs="Calibri"/>
          <w:color w:val="1E293B"/>
          <w:sz w:val="22"/>
          <w:szCs w:val="22"/>
        </w:rPr>
        <w:t>AI Ways of Working</w:t>
      </w:r>
      <w:r>
        <w:rPr>
          <w:rFonts w:ascii="Calibri" w:hAnsi="Calibri" w:cs="Calibri"/>
          <w:color w:val="1E293B"/>
          <w:sz w:val="22"/>
          <w:szCs w:val="22"/>
        </w:rPr>
        <w:t xml:space="preserve"> embrionários no eixo humano: possuem centros de excelência em IA (CoE) com papéis formalizados, </w:t>
      </w:r>
      <w:r>
        <w:rPr>
          <w:rStyle w:val="nfase"/>
          <w:rFonts w:ascii="Calibri" w:hAnsi="Calibri" w:cs="Calibri"/>
          <w:color w:val="1E293B"/>
          <w:sz w:val="22"/>
          <w:szCs w:val="22"/>
        </w:rPr>
        <w:t>career ladders</w:t>
      </w:r>
      <w:r>
        <w:rPr>
          <w:rFonts w:ascii="Calibri" w:hAnsi="Calibri" w:cs="Calibri"/>
          <w:color w:val="1E293B"/>
          <w:sz w:val="22"/>
          <w:szCs w:val="22"/>
        </w:rPr>
        <w:t xml:space="preserve"> específicos para ML Engineers e Applied Scientists distintos das trilhas de Software Engineering, programas estruturados de certificação interna (como o modelo Amazon ML University ou o Google AI Residency adaptado para ambientes corporativos) e </w:t>
      </w:r>
      <w:r>
        <w:rPr>
          <w:rStyle w:val="nfase"/>
          <w:rFonts w:ascii="Calibri" w:hAnsi="Calibri" w:cs="Calibri"/>
          <w:color w:val="1E293B"/>
          <w:sz w:val="22"/>
          <w:szCs w:val="22"/>
        </w:rPr>
        <w:t>AI Translators</w:t>
      </w:r>
      <w:r>
        <w:rPr>
          <w:rFonts w:ascii="Calibri" w:hAnsi="Calibri" w:cs="Calibri"/>
          <w:color w:val="1E293B"/>
          <w:sz w:val="22"/>
          <w:szCs w:val="22"/>
        </w:rPr>
        <w:t xml:space="preserve"> — perfis de produto e negócio com fluência técnica suficiente para priorizar casos de uso com critérios de ROI claros. Consultorias de tecnologia como Accenture e Capgemini, que competem diretamente com a Empresa Teste Maturidade IA no mercado brasileiro de serviços tech, já reportam programas de </w:t>
      </w:r>
      <w:r>
        <w:rPr>
          <w:rStyle w:val="nfase"/>
          <w:rFonts w:ascii="Calibri" w:hAnsi="Calibri" w:cs="Calibri"/>
          <w:color w:val="1E293B"/>
          <w:sz w:val="22"/>
          <w:szCs w:val="22"/>
        </w:rPr>
        <w:t>AI Fluency</w:t>
      </w:r>
      <w:r>
        <w:rPr>
          <w:rFonts w:ascii="Calibri" w:hAnsi="Calibri" w:cs="Calibri"/>
          <w:color w:val="1E293B"/>
          <w:sz w:val="22"/>
          <w:szCs w:val="22"/>
        </w:rPr>
        <w:t xml:space="preserve"> com mais de 60% do headcount capacitado em fundamentos de IA generativa até 2024, além de trilhas especializadas para os 15–20% que atuam diretamente com desenvolvimento de modelos. A Empresa Teste Maturidade IA, com scores entre 1,57 e 3,0 nesta dimensão, ainda opera com 1,5 a 2 anos de defasagem em relação a esse padrão, o que se traduz em desvantagem tanto na entrega de soluções de IA para clientes quanto na capacidade de reter os talentos que mais rapidamente encontram alternativas no mercado aquecido de 2024–2025.</w:t>
      </w:r>
    </w:p>
    <w:p w14:paraId="253AD24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306EDD6">
          <v:rect id="_x0000_i1133" alt="" style="width:425.2pt;height:.05pt;mso-width-percent:0;mso-height-percent:0;mso-width-percent:0;mso-height-percent:0" o:hralign="center" o:hrstd="t" o:hr="t" fillcolor="#a0a0a0" stroked="f"/>
        </w:pict>
      </w:r>
    </w:p>
    <w:p w14:paraId="5CA1B72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3.4.5 Recomendações Específicas</w:t>
      </w:r>
    </w:p>
    <w:p w14:paraId="42FBFFF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Estruturar AI Career Framework com dual track (Management × Individual Contributor)</w:t>
      </w:r>
    </w:p>
    <w:p w14:paraId="5897E51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Implementar uma trilha de carreira específica para profissionais de IA, separada das trilhas genéricas de engenharia, com níveis claros: </w:t>
      </w:r>
      <w:r>
        <w:rPr>
          <w:rStyle w:val="nfase"/>
          <w:rFonts w:ascii="Calibri" w:hAnsi="Calibri" w:cs="Calibri"/>
          <w:color w:val="1E293B"/>
          <w:sz w:val="22"/>
          <w:szCs w:val="22"/>
        </w:rPr>
        <w:t>Junior ML Engineer → ML Engineer → Senior ML Engineer → Staff ML Engineer → Principal Scientist</w:t>
      </w:r>
      <w:r>
        <w:rPr>
          <w:rFonts w:ascii="Calibri" w:hAnsi="Calibri" w:cs="Calibri"/>
          <w:color w:val="1E293B"/>
          <w:sz w:val="22"/>
          <w:szCs w:val="22"/>
        </w:rPr>
        <w:t xml:space="preserve">. Cada nível deve ter critérios objetivos de progressão baseados em entregáveis de IA (modelos em produção, redução de latência, impacto mensurável em KPIs de negócio, contribuições a repositórios internos). Referenciar o </w:t>
      </w:r>
      <w:r>
        <w:rPr>
          <w:rStyle w:val="Forte"/>
          <w:rFonts w:ascii="Calibri" w:hAnsi="Calibri" w:cs="Calibri"/>
          <w:color w:val="1E293B"/>
          <w:sz w:val="22"/>
          <w:szCs w:val="22"/>
        </w:rPr>
        <w:t>Playbook Atlas — Componente "AI Talent Architecture Blueprint"</w:t>
      </w:r>
      <w:r>
        <w:rPr>
          <w:rFonts w:ascii="Calibri" w:hAnsi="Calibri" w:cs="Calibri"/>
          <w:color w:val="1E293B"/>
          <w:sz w:val="22"/>
          <w:szCs w:val="22"/>
        </w:rPr>
        <w:t xml:space="preserve"> para estrutura de job families, bandas salariais de referência e critérios de promoção. Conectar ao HRIS existente para que gestores possam conduzir </w:t>
      </w:r>
      <w:r>
        <w:rPr>
          <w:rStyle w:val="nfase"/>
          <w:rFonts w:ascii="Calibri" w:hAnsi="Calibri" w:cs="Calibri"/>
          <w:color w:val="1E293B"/>
          <w:sz w:val="22"/>
          <w:szCs w:val="22"/>
        </w:rPr>
        <w:t>calibration sessions</w:t>
      </w:r>
      <w:r>
        <w:rPr>
          <w:rFonts w:ascii="Calibri" w:hAnsi="Calibri" w:cs="Calibri"/>
          <w:color w:val="1E293B"/>
          <w:sz w:val="22"/>
          <w:szCs w:val="22"/>
        </w:rPr>
        <w:t xml:space="preserve"> com critérios de IA explícitos. </w:t>
      </w:r>
      <w:r>
        <w:rPr>
          <w:rStyle w:val="Forte"/>
          <w:rFonts w:ascii="Calibri" w:hAnsi="Calibri" w:cs="Calibri"/>
          <w:color w:val="1E293B"/>
          <w:sz w:val="22"/>
          <w:szCs w:val="22"/>
        </w:rPr>
        <w:t>Prazo</w:t>
      </w:r>
      <w:r>
        <w:rPr>
          <w:rFonts w:ascii="Calibri" w:hAnsi="Calibri" w:cs="Calibri"/>
          <w:color w:val="1E293B"/>
          <w:sz w:val="22"/>
          <w:szCs w:val="22"/>
        </w:rPr>
        <w:t>: 90 dias para v1.0 do framework; 6 meses para primeira rodada de calibração formal.</w:t>
      </w:r>
    </w:p>
    <w:p w14:paraId="563DC52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Lançar AI Academy Interna com jornadas por persona</w:t>
      </w:r>
    </w:p>
    <w:p w14:paraId="1AC162C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Evoluir iniciativas pontuais de capacitação ([Q2]) para um programa estruturado em três jornadas: </w:t>
      </w:r>
      <w:r>
        <w:rPr>
          <w:rStyle w:val="nfase"/>
          <w:rFonts w:ascii="Calibri" w:hAnsi="Calibri" w:cs="Calibri"/>
          <w:color w:val="1E293B"/>
          <w:sz w:val="22"/>
          <w:szCs w:val="22"/>
        </w:rPr>
        <w:t>(a) AI Literacy</w:t>
      </w:r>
      <w:r>
        <w:rPr>
          <w:rFonts w:ascii="Calibri" w:hAnsi="Calibri" w:cs="Calibri"/>
          <w:color w:val="1E293B"/>
          <w:sz w:val="22"/>
          <w:szCs w:val="22"/>
        </w:rPr>
        <w:t xml:space="preserve"> para todos os funcionários (fundamentos, IA generativa, uso responsável — 8h, 100% online); </w:t>
      </w:r>
      <w:r>
        <w:rPr>
          <w:rStyle w:val="nfase"/>
          <w:rFonts w:ascii="Calibri" w:hAnsi="Calibri" w:cs="Calibri"/>
          <w:color w:val="1E293B"/>
          <w:sz w:val="22"/>
          <w:szCs w:val="22"/>
        </w:rPr>
        <w:t>(b) AI Practitioner</w:t>
      </w:r>
      <w:r>
        <w:rPr>
          <w:rFonts w:ascii="Calibri" w:hAnsi="Calibri" w:cs="Calibri"/>
          <w:color w:val="1E293B"/>
          <w:sz w:val="22"/>
          <w:szCs w:val="22"/>
        </w:rPr>
        <w:t xml:space="preserve"> para analistas e PMs (prompt engineering, avaliação de modelos, design de casos de uso — 24h); </w:t>
      </w:r>
      <w:r>
        <w:rPr>
          <w:rStyle w:val="nfase"/>
          <w:rFonts w:ascii="Calibri" w:hAnsi="Calibri" w:cs="Calibri"/>
          <w:color w:val="1E293B"/>
          <w:sz w:val="22"/>
          <w:szCs w:val="22"/>
        </w:rPr>
        <w:t>(c) AI Builder</w:t>
      </w:r>
      <w:r>
        <w:rPr>
          <w:rFonts w:ascii="Calibri" w:hAnsi="Calibri" w:cs="Calibri"/>
          <w:color w:val="1E293B"/>
          <w:sz w:val="22"/>
          <w:szCs w:val="22"/>
        </w:rPr>
        <w:t xml:space="preserve"> para engenheiros e cientistas (MLOps, fine-tuning, deployment, observabilidade — 80h com projetos reais). Utilizar o </w:t>
      </w:r>
      <w:r>
        <w:rPr>
          <w:rStyle w:val="Forte"/>
          <w:rFonts w:ascii="Calibri" w:hAnsi="Calibri" w:cs="Calibri"/>
          <w:color w:val="1E293B"/>
          <w:sz w:val="22"/>
          <w:szCs w:val="22"/>
        </w:rPr>
        <w:t>Playbook Atlas — Módulo "Learning Path Engine"</w:t>
      </w:r>
      <w:r>
        <w:rPr>
          <w:rFonts w:ascii="Calibri" w:hAnsi="Calibri" w:cs="Calibri"/>
          <w:color w:val="1E293B"/>
          <w:sz w:val="22"/>
          <w:szCs w:val="22"/>
        </w:rPr>
        <w:t xml:space="preserve"> para personalização de trilhas por role e integração com LMS corporativo. Benchmark: CI&amp;T reportou redução de 30% no </w:t>
      </w:r>
      <w:r>
        <w:rPr>
          <w:rStyle w:val="nfase"/>
          <w:rFonts w:ascii="Calibri" w:hAnsi="Calibri" w:cs="Calibri"/>
          <w:color w:val="1E293B"/>
          <w:sz w:val="22"/>
          <w:szCs w:val="22"/>
        </w:rPr>
        <w:t>time-to-deploy</w:t>
      </w:r>
      <w:r>
        <w:rPr>
          <w:rFonts w:ascii="Calibri" w:hAnsi="Calibri" w:cs="Calibri"/>
          <w:color w:val="1E293B"/>
          <w:sz w:val="22"/>
          <w:szCs w:val="22"/>
        </w:rPr>
        <w:t xml:space="preserve"> de modelos após implementar programa similar em 2023. </w:t>
      </w:r>
      <w:r>
        <w:rPr>
          <w:rStyle w:val="Forte"/>
          <w:rFonts w:ascii="Calibri" w:hAnsi="Calibri" w:cs="Calibri"/>
          <w:color w:val="1E293B"/>
          <w:sz w:val="22"/>
          <w:szCs w:val="22"/>
        </w:rPr>
        <w:t>Prazo</w:t>
      </w:r>
      <w:r>
        <w:rPr>
          <w:rFonts w:ascii="Calibri" w:hAnsi="Calibri" w:cs="Calibri"/>
          <w:color w:val="1E293B"/>
          <w:sz w:val="22"/>
          <w:szCs w:val="22"/>
        </w:rPr>
        <w:t>: MVP da jornada AI Literacy em 60 dias; AI Builder em 6 meses.</w:t>
      </w:r>
    </w:p>
    <w:p w14:paraId="07F73E9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Criar papel formal de AI Translator em cada Business Unit</w:t>
      </w:r>
    </w:p>
    <w:p w14:paraId="3328051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Formalizar o perfil de </w:t>
      </w:r>
      <w:r>
        <w:rPr>
          <w:rStyle w:val="nfase"/>
          <w:rFonts w:ascii="Calibri" w:hAnsi="Calibri" w:cs="Calibri"/>
          <w:color w:val="1E293B"/>
          <w:sz w:val="22"/>
          <w:szCs w:val="22"/>
        </w:rPr>
        <w:t>AI Translator</w:t>
      </w:r>
      <w:r>
        <w:rPr>
          <w:rFonts w:ascii="Calibri" w:hAnsi="Calibri" w:cs="Calibri"/>
          <w:color w:val="1E293B"/>
          <w:sz w:val="22"/>
          <w:szCs w:val="22"/>
        </w:rPr>
        <w:t xml:space="preserve"> — profissional com formação em negócio e fluência técnica em IA — como papel estratégico dentro de cada BU, responsável por priorizar casos de uso, traduzir requisitos para times técnicos e monitorar valor gerado por modelos em produção. Esse papel ataca diretamente [Q5] (colaboração técnica-negócio = 2,75). Referenciar o </w:t>
      </w:r>
      <w:r>
        <w:rPr>
          <w:rStyle w:val="Forte"/>
          <w:rFonts w:ascii="Calibri" w:hAnsi="Calibri" w:cs="Calibri"/>
          <w:color w:val="1E293B"/>
          <w:sz w:val="22"/>
          <w:szCs w:val="22"/>
        </w:rPr>
        <w:t>Playbook Atlas — "AI Translator Role Blueprint"</w:t>
      </w:r>
      <w:r>
        <w:rPr>
          <w:rFonts w:ascii="Calibri" w:hAnsi="Calibri" w:cs="Calibri"/>
          <w:color w:val="1E293B"/>
          <w:sz w:val="22"/>
          <w:szCs w:val="22"/>
        </w:rPr>
        <w:t xml:space="preserve"> para job description, OKRs e estrutura de reporte (dotted line para CoE de IA + solid line para BU). Empresas como ThoughtWorks e Stefanini já operam com esse perfil como diferencial de entrega em projetos de IA para clientes. </w:t>
      </w:r>
      <w:r>
        <w:rPr>
          <w:rStyle w:val="Forte"/>
          <w:rFonts w:ascii="Calibri" w:hAnsi="Calibri" w:cs="Calibri"/>
          <w:color w:val="1E293B"/>
          <w:sz w:val="22"/>
          <w:szCs w:val="22"/>
        </w:rPr>
        <w:t>Prazo</w:t>
      </w:r>
      <w:r>
        <w:rPr>
          <w:rFonts w:ascii="Calibri" w:hAnsi="Calibri" w:cs="Calibri"/>
          <w:color w:val="1E293B"/>
          <w:sz w:val="22"/>
          <w:szCs w:val="22"/>
        </w:rPr>
        <w:t>: 2 AI Translators alocados em 90 dias; cobertura de todas as BUs em 12 meses.</w:t>
      </w:r>
    </w:p>
    <w:p w14:paraId="2157F09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Programa de Employer Branding em IA para atração e retenção</w:t>
      </w:r>
    </w:p>
    <w:p w14:paraId="45B685C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Endereçar [Q6] (atração e retenção = 2,63) com estratégia de posicionamento externo: publicação de blog técnico de IA (Medium/Substack corporativo), participação ativa em conferências como SBBD, NeurIPS e Data Hackers Summit, criação de programa de </w:t>
      </w:r>
      <w:r>
        <w:rPr>
          <w:rStyle w:val="nfase"/>
          <w:rFonts w:ascii="Calibri" w:hAnsi="Calibri" w:cs="Calibri"/>
          <w:color w:val="1E293B"/>
          <w:sz w:val="22"/>
          <w:szCs w:val="22"/>
        </w:rPr>
        <w:t>AI Residency</w:t>
      </w:r>
      <w:r>
        <w:rPr>
          <w:rFonts w:ascii="Calibri" w:hAnsi="Calibri" w:cs="Calibri"/>
          <w:color w:val="1E293B"/>
          <w:sz w:val="22"/>
          <w:szCs w:val="22"/>
        </w:rPr>
        <w:t xml:space="preserve"> interno para recém-formados de universidades parceiras (USP, Unicamp, PUC-Rio), e estruturação de </w:t>
      </w:r>
      <w:r>
        <w:rPr>
          <w:rStyle w:val="nfase"/>
          <w:rFonts w:ascii="Calibri" w:hAnsi="Calibri" w:cs="Calibri"/>
          <w:color w:val="1E293B"/>
          <w:sz w:val="22"/>
          <w:szCs w:val="22"/>
        </w:rPr>
        <w:t>open source contributions</w:t>
      </w:r>
      <w:r>
        <w:rPr>
          <w:rFonts w:ascii="Calibri" w:hAnsi="Calibri" w:cs="Calibri"/>
          <w:color w:val="1E293B"/>
          <w:sz w:val="22"/>
          <w:szCs w:val="22"/>
        </w:rPr>
        <w:t xml:space="preserve"> como parte da avaliação de desempenho de seniores. Utilizar o </w:t>
      </w:r>
      <w:r>
        <w:rPr>
          <w:rStyle w:val="Forte"/>
          <w:rFonts w:ascii="Calibri" w:hAnsi="Calibri" w:cs="Calibri"/>
          <w:color w:val="1E293B"/>
          <w:sz w:val="22"/>
          <w:szCs w:val="22"/>
        </w:rPr>
        <w:t>Playbook Atlas — "Talent Magnet Framework"</w:t>
      </w:r>
      <w:r>
        <w:rPr>
          <w:rFonts w:ascii="Calibri" w:hAnsi="Calibri" w:cs="Calibri"/>
          <w:color w:val="1E293B"/>
          <w:sz w:val="22"/>
          <w:szCs w:val="22"/>
        </w:rPr>
        <w:t xml:space="preserve"> para pipeline de atração, onboarding técnico e programa de mentoria. </w:t>
      </w:r>
      <w:r>
        <w:rPr>
          <w:rStyle w:val="Forte"/>
          <w:rFonts w:ascii="Calibri" w:hAnsi="Calibri" w:cs="Calibri"/>
          <w:color w:val="1E293B"/>
          <w:sz w:val="22"/>
          <w:szCs w:val="22"/>
        </w:rPr>
        <w:t>Prazo</w:t>
      </w:r>
      <w:r>
        <w:rPr>
          <w:rFonts w:ascii="Calibri" w:hAnsi="Calibri" w:cs="Calibri"/>
          <w:color w:val="1E293B"/>
          <w:sz w:val="22"/>
          <w:szCs w:val="22"/>
        </w:rPr>
        <w:t>: blog e presença em 2 conferências em 6 meses; programa de residência com primeira turma em 12 meses.</w:t>
      </w:r>
    </w:p>
    <w:p w14:paraId="0637463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C72A01E">
          <v:rect id="_x0000_i1132" alt="" style="width:425.2pt;height:.05pt;mso-width-percent:0;mso-height-percent:0;mso-width-percent:0;mso-height-percent:0" o:hralign="center" o:hrstd="t" o:hr="t" fillcolor="#a0a0a0" stroked="f"/>
        </w:pict>
      </w:r>
    </w:p>
    <w:p w14:paraId="118C74E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3.4.6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3746"/>
        <w:gridCol w:w="2327"/>
        <w:gridCol w:w="1188"/>
        <w:gridCol w:w="1227"/>
      </w:tblGrid>
      <w:tr w:rsidR="00000000" w14:paraId="538F373C" w14:textId="77777777">
        <w:trPr>
          <w:divId w:val="560561453"/>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46EB1F7"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5AE32F6"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6E5E639"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CBE1742"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Meta 12 meses</w:t>
            </w:r>
          </w:p>
        </w:tc>
      </w:tr>
      <w:tr w:rsidR="00000000" w14:paraId="16EC5DE1" w14:textId="77777777">
        <w:trPr>
          <w:divId w:val="56056145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46E72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retenção de profissionais de IA</w:t>
            </w:r>
            <w:r>
              <w:rPr>
                <w:rFonts w:ascii="Calibri" w:eastAsia="Times New Roman" w:hAnsi="Calibri" w:cs="Calibri"/>
                <w:color w:val="1E293B"/>
                <w:sz w:val="21"/>
                <w:szCs w:val="21"/>
              </w:rPr>
              <w:t xml:space="preserve"> (% permanência em 12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1F257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~65% (estimado, setor tech 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EC9BE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C25885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80%</w:t>
            </w:r>
          </w:p>
        </w:tc>
      </w:tr>
      <w:tr w:rsidR="00000000" w14:paraId="6945D087" w14:textId="77777777">
        <w:trPr>
          <w:divId w:val="56056145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4DA464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do AI Career Framework</w:t>
            </w:r>
            <w:r>
              <w:rPr>
                <w:rFonts w:ascii="Calibri" w:eastAsia="Times New Roman" w:hAnsi="Calibri" w:cs="Calibri"/>
                <w:color w:val="1E293B"/>
                <w:sz w:val="21"/>
                <w:szCs w:val="21"/>
              </w:rPr>
              <w:t xml:space="preserve"> (% profissionais de IA com trilha formal mapeada)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C6B47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(framework inexistente)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606D6B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F67B98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w:t>
            </w:r>
          </w:p>
        </w:tc>
      </w:tr>
      <w:tr w:rsidR="00000000" w14:paraId="0432FA1C" w14:textId="77777777">
        <w:trPr>
          <w:divId w:val="56056145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65DAC6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headcount com AI Literacy concluída</w:t>
            </w:r>
            <w:r>
              <w:rPr>
                <w:rFonts w:ascii="Calibri" w:eastAsia="Times New Roman" w:hAnsi="Calibri" w:cs="Calibri"/>
                <w:color w:val="1E293B"/>
                <w:sz w:val="21"/>
                <w:szCs w:val="21"/>
              </w:rPr>
              <w:t xml:space="preserve"> (jornada básica)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AAB6D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&lt;5% (iniciativas pontuais)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35396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E758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w:t>
            </w:r>
          </w:p>
        </w:tc>
      </w:tr>
      <w:tr w:rsidR="00000000" w14:paraId="66CFE691" w14:textId="77777777">
        <w:trPr>
          <w:divId w:val="56056145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2B1B4E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Translators alocados por BU</w:t>
            </w:r>
            <w:r>
              <w:rPr>
                <w:rFonts w:ascii="Calibri" w:eastAsia="Times New Roman" w:hAnsi="Calibri" w:cs="Calibri"/>
                <w:color w:val="1E293B"/>
                <w:sz w:val="21"/>
                <w:szCs w:val="21"/>
              </w:rPr>
              <w:t xml:space="preserve"> (nº de BUs cobertas)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74D1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BUs formalizadas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A9FFE4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BUs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6E9EA5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das BUs</w:t>
            </w:r>
          </w:p>
        </w:tc>
      </w:tr>
      <w:tr w:rsidR="00000000" w14:paraId="5BCFE302" w14:textId="77777777">
        <w:trPr>
          <w:divId w:val="56056145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0CD362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NPS interno de colaboração técnica-negócio em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A311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mensurado (baseline = [Q5] 2,75/5)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EC79D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3,2/5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00C1D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3,8/5</w:t>
            </w:r>
          </w:p>
        </w:tc>
      </w:tr>
    </w:tbl>
    <w:p w14:paraId="5144BC96"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3.5 Dimensão — Operações e Processos — Score 1.98 · Nível 2</w:t>
      </w:r>
    </w:p>
    <w:p w14:paraId="55039FC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3.5.1 Análise Diagnóstica</w:t>
      </w:r>
    </w:p>
    <w:p w14:paraId="07168F7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padrão de respostas da dimensão </w:t>
      </w:r>
      <w:r>
        <w:rPr>
          <w:rStyle w:val="Forte"/>
          <w:rFonts w:ascii="Calibri" w:hAnsi="Calibri" w:cs="Calibri"/>
          <w:color w:val="1E293B"/>
          <w:sz w:val="22"/>
          <w:szCs w:val="22"/>
        </w:rPr>
        <w:t>Operações e Processos</w:t>
      </w:r>
      <w:r>
        <w:rPr>
          <w:rFonts w:ascii="Calibri" w:hAnsi="Calibri" w:cs="Calibri"/>
          <w:color w:val="1E293B"/>
          <w:sz w:val="22"/>
          <w:szCs w:val="22"/>
        </w:rPr>
        <w:t xml:space="preserve"> revela uma Empresa Teste Maturidade IA que executa IA de forma episódica e artesanal, sem a infraestrutura operacional necessária para transformar experimentos em ativos industrializados. Os scores de [Q1] (modelos em produção gerando valor = 2.0) e [Q4] (integração com sistemas legados = 2.0) indicam que existem iniciativas pontuais de IA chegando a ambientes produtivos — provavelmente scripts de scoring, automações de triagem ou pipelines de classificação de tickets —, mas que operam em silos desconectados dos sistemas core da empresa (ERP, CRM, plataformas de entrega de software). A ausência de integração profunda com sistemas legados é particularmente reveladora: em empresas de tecnologia de grande porte, esse padrão costuma significar que a IA "roda ao lado" dos processos reais, requerendo intervenção humana para transferência de outputs — o que cancela grande parte do ganho operacional esperado.</w:t>
      </w:r>
    </w:p>
    <w:p w14:paraId="078A4B6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ponto de maior fragilidade estrutural está na convergência dos scores mais baixos da dimensão: [Q3] (SLA definido para modelos de IA = 1.78) e [Q6] (monitoramento de performance em produção = 1.78). Esses dois indicadores formam um par crítico: sem SLAs formalizados, não há acordo de nível de serviço que governe disponibilidade, latência de inferência ou acurácia mínima aceitável dos modelos; sem monitoramento contínuo, nenhuma violação desses parâmetros seria sequer detectada. Para uma empresa de tecnologia que, por definição, vende confiabilidade a clientes, operar modelos de IA em produção sem observabilidade é o equivalente a entregar software sem APM — uma contradição com os próprios padrões que a Empresa Teste Maturidade IA provavelmente exige de seus produtos. O score de [Q5] (deploy contínuo = 2.22) sugere que há alguma experimentação com pipelines de CI/CD para modelos, mas sem o substrato de monitoramento ([Q6]) e SLA ([Q3]), esse deploy mais frequente apenas acelera a propagação de modelos degradados para produção.</w:t>
      </w:r>
    </w:p>
    <w:p w14:paraId="5F7A93D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automação de processos com IA [Q2] em 2.1 confirma o quadro: há automações existentes — potencialmente RPA com camadas de ML para classificação de documentos, priorização de demandas ou sugestão de código —, mas operam sem orquestração centralizada e sem reintegração de feedback loops ao ciclo de treinamento. No referencial do MIT CISR, a Empresa Teste Maturidade IA está no limite inferior do </w:t>
      </w:r>
      <w:r>
        <w:rPr>
          <w:rStyle w:val="Forte"/>
          <w:rFonts w:ascii="Calibri" w:hAnsi="Calibri" w:cs="Calibri"/>
          <w:color w:val="1E293B"/>
          <w:sz w:val="22"/>
          <w:szCs w:val="22"/>
        </w:rPr>
        <w:t>Estágio 2 (Build Pilots and Capabilities)</w:t>
      </w:r>
      <w:r>
        <w:rPr>
          <w:rFonts w:ascii="Calibri" w:hAnsi="Calibri" w:cs="Calibri"/>
          <w:color w:val="1E293B"/>
          <w:sz w:val="22"/>
          <w:szCs w:val="22"/>
        </w:rPr>
        <w:t xml:space="preserve">: constrói capacidades e lança pilotos, mas ainda não consolidou os mecanismos operacionais que transformam pilotos em processos gerenciados. A transição para o </w:t>
      </w:r>
      <w:r>
        <w:rPr>
          <w:rStyle w:val="Forte"/>
          <w:rFonts w:ascii="Calibri" w:hAnsi="Calibri" w:cs="Calibri"/>
          <w:color w:val="1E293B"/>
          <w:sz w:val="22"/>
          <w:szCs w:val="22"/>
        </w:rPr>
        <w:t>Estágio 3 (Develop AI Ways of Working)</w:t>
      </w:r>
      <w:r>
        <w:rPr>
          <w:rFonts w:ascii="Calibri" w:hAnsi="Calibri" w:cs="Calibri"/>
          <w:color w:val="1E293B"/>
          <w:sz w:val="22"/>
          <w:szCs w:val="22"/>
        </w:rPr>
        <w:t xml:space="preserve"> exige precisamente o que está faltando aqui — MLOps maduro, SLAs de modelo, integração sistêmica e observabilidade contínua.</w:t>
      </w:r>
    </w:p>
    <w:p w14:paraId="7C86838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7AADD2B">
          <v:rect id="_x0000_i1131" alt="" style="width:425.2pt;height:.05pt;mso-width-percent:0;mso-height-percent:0;mso-width-percent:0;mso-height-percent:0" o:hralign="center" o:hrstd="t" o:hr="t" fillcolor="#a0a0a0" stroked="f"/>
        </w:pict>
      </w:r>
    </w:p>
    <w:p w14:paraId="4F6FFB5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3.5.2 Evidências Críticas</w:t>
      </w:r>
    </w:p>
    <w:p w14:paraId="160A7F8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pressionaram o score para baixo:</w:t>
      </w:r>
    </w:p>
    <w:p w14:paraId="2BCBB4CA" w14:textId="77777777" w:rsidR="00000000" w:rsidRDefault="00000000">
      <w:pPr>
        <w:numPr>
          <w:ilvl w:val="0"/>
          <w:numId w:val="1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SLA definido para modelos de IA = 1.78</w:t>
      </w:r>
      <w:r>
        <w:rPr>
          <w:rFonts w:ascii="Calibri" w:eastAsia="Times New Roman" w:hAnsi="Calibri" w:cs="Calibri"/>
          <w:color w:val="1E293B"/>
          <w:sz w:val="22"/>
          <w:szCs w:val="22"/>
        </w:rPr>
        <w:t xml:space="preserve"> — Score mais baixo da dimensão. Ausência de acordos formais de disponibilidade, acurácia mínima, latência de inferência e critérios de rollback. Modelos em produção operam sem contrato de desempenho.</w:t>
      </w:r>
    </w:p>
    <w:p w14:paraId="40E37330" w14:textId="77777777" w:rsidR="00000000" w:rsidRDefault="00000000">
      <w:pPr>
        <w:numPr>
          <w:ilvl w:val="0"/>
          <w:numId w:val="1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Monitoramento de performance em produção = 1.78</w:t>
      </w:r>
      <w:r>
        <w:rPr>
          <w:rFonts w:ascii="Calibri" w:eastAsia="Times New Roman" w:hAnsi="Calibri" w:cs="Calibri"/>
          <w:color w:val="1E293B"/>
          <w:sz w:val="22"/>
          <w:szCs w:val="22"/>
        </w:rPr>
        <w:t xml:space="preserve"> — Empatado como pior score. Nenhum pipeline estruturado de detecção de data drift, concept drift ou degradação de métricas ao longo do tempo. Falhas são descobertas reativamente (por reclamação ou anomalia perceptível).</w:t>
      </w:r>
    </w:p>
    <w:p w14:paraId="70C6CF0D" w14:textId="77777777" w:rsidR="00000000" w:rsidRDefault="00000000">
      <w:pPr>
        <w:numPr>
          <w:ilvl w:val="0"/>
          <w:numId w:val="1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Modelos em produção gerando valor = 2.0</w:t>
      </w:r>
      <w:r>
        <w:rPr>
          <w:rFonts w:ascii="Calibri" w:eastAsia="Times New Roman" w:hAnsi="Calibri" w:cs="Calibri"/>
          <w:color w:val="1E293B"/>
          <w:sz w:val="22"/>
          <w:szCs w:val="22"/>
        </w:rPr>
        <w:t xml:space="preserve"> — Modelos existem em produção, mas o "valor gerado" não é rastreado sistematicamente; não há atribuição de impacto financeiro ou operacional mensurável por modelo.</w:t>
      </w:r>
    </w:p>
    <w:p w14:paraId="16022507" w14:textId="77777777" w:rsidR="00000000" w:rsidRDefault="00000000">
      <w:pPr>
        <w:numPr>
          <w:ilvl w:val="0"/>
          <w:numId w:val="1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Integração com sistemas legados = 2.0</w:t>
      </w:r>
      <w:r>
        <w:rPr>
          <w:rFonts w:ascii="Calibri" w:eastAsia="Times New Roman" w:hAnsi="Calibri" w:cs="Calibri"/>
          <w:color w:val="1E293B"/>
          <w:sz w:val="22"/>
          <w:szCs w:val="22"/>
        </w:rPr>
        <w:t xml:space="preserve"> — Integrações pontuais via scripts ou ETLs manuais; ausência de APIs padronizadas de inferência conectadas aos sistemas transacionais.</w:t>
      </w:r>
    </w:p>
    <w:p w14:paraId="6B53486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w:t>
      </w:r>
    </w:p>
    <w:p w14:paraId="750D3623" w14:textId="77777777" w:rsidR="00000000" w:rsidRDefault="00000000">
      <w:pPr>
        <w:numPr>
          <w:ilvl w:val="0"/>
          <w:numId w:val="1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Deploy contínuo para modelos = 2.22</w:t>
      </w:r>
      <w:r>
        <w:rPr>
          <w:rFonts w:ascii="Calibri" w:eastAsia="Times New Roman" w:hAnsi="Calibri" w:cs="Calibri"/>
          <w:color w:val="1E293B"/>
          <w:sz w:val="22"/>
          <w:szCs w:val="22"/>
        </w:rPr>
        <w:t xml:space="preserve"> — Score mais alto da dimensão; indica que há alguma automação de pipeline (possivelmente GitHub Actions ou Jenkins com steps de treinamento/validação), embora sem gates de qualidade robustos.</w:t>
      </w:r>
    </w:p>
    <w:p w14:paraId="16E2C8B0" w14:textId="77777777" w:rsidR="00000000" w:rsidRDefault="00000000">
      <w:pPr>
        <w:numPr>
          <w:ilvl w:val="0"/>
          <w:numId w:val="1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Automação de processos com IA = 2.1</w:t>
      </w:r>
      <w:r>
        <w:rPr>
          <w:rFonts w:ascii="Calibri" w:eastAsia="Times New Roman" w:hAnsi="Calibri" w:cs="Calibri"/>
          <w:color w:val="1E293B"/>
          <w:sz w:val="22"/>
          <w:szCs w:val="22"/>
        </w:rPr>
        <w:t xml:space="preserve"> — Existência de automações funcionando, mesmo que operando em modo semi-manual com supervisão humana frequente.</w:t>
      </w:r>
    </w:p>
    <w:p w14:paraId="1539D80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72CD2D2">
          <v:rect id="_x0000_i1130" alt="" style="width:425.2pt;height:.05pt;mso-width-percent:0;mso-height-percent:0;mso-width-percent:0;mso-height-percent:0" o:hralign="center" o:hrstd="t" o:hr="t" fillcolor="#a0a0a0" stroked="f"/>
        </w:pict>
      </w:r>
    </w:p>
    <w:p w14:paraId="6721B1C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3.5.3 Risco de Negócio</w:t>
      </w:r>
    </w:p>
    <w:p w14:paraId="12ADF75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Empresas de tecnologia de grande porte que operam modelos de IA em produção sem SLAs formalizados ([Q3]) e sem monitoramento contínuo ([Q6]) estão expostas a um risco específico e de difícil mitigação posterior: a </w:t>
      </w:r>
      <w:r>
        <w:rPr>
          <w:rStyle w:val="Forte"/>
          <w:rFonts w:ascii="Calibri" w:hAnsi="Calibri" w:cs="Calibri"/>
          <w:color w:val="1E293B"/>
          <w:sz w:val="22"/>
          <w:szCs w:val="22"/>
        </w:rPr>
        <w:t>erosão silenciosa de confiabilidade</w:t>
      </w:r>
      <w:r>
        <w:rPr>
          <w:rFonts w:ascii="Calibri" w:hAnsi="Calibri" w:cs="Calibri"/>
          <w:color w:val="1E293B"/>
          <w:sz w:val="22"/>
          <w:szCs w:val="22"/>
        </w:rPr>
        <w:t>. Diferentemente de uma falha de sistema tradicional — que gera alerta imediato —, um modelo que sofre concept drift continua respondendo, mas com outputs progressivamente incorretos ou enviesados. No contexto de uma empresa de tecnologia que usa IA para, por exemplo, priorização automática de incidentes de clientes, sugestão de código ou triagem de suporte técnico, a degradação não detectada traduz-se em entregas de menor qualidade, insatisfação de clientes enterprise e, eventualmente, perda de contratos SLA — justamente o mercado em que a Empresa Teste Maturidade IA compete. Adicionalmente, a ausência de integração robusta com sistemas legados ([Q4]) cria dependência de operações manuais em pontos críticos do fluxo: quando um processo de IA para ou degrada, o fallback é humano e não escalável, gerando picos de custo operacional que corroem o ROI que justificou o investimento inicial nos modelos.</w:t>
      </w:r>
    </w:p>
    <w:p w14:paraId="36F6622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9914C49">
          <v:rect id="_x0000_i1129" alt="" style="width:425.2pt;height:.05pt;mso-width-percent:0;mso-height-percent:0;mso-width-percent:0;mso-height-percent:0" o:hralign="center" o:hrstd="t" o:hr="t" fillcolor="#a0a0a0" stroked="f"/>
        </w:pict>
      </w:r>
    </w:p>
    <w:p w14:paraId="251F553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3.5.4 Benchmark Setorial</w:t>
      </w:r>
    </w:p>
    <w:p w14:paraId="3E14246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de grande porte, a média consolidada de </w:t>
      </w:r>
      <w:r>
        <w:rPr>
          <w:rStyle w:val="Forte"/>
          <w:rFonts w:ascii="Calibri" w:hAnsi="Calibri" w:cs="Calibri"/>
          <w:color w:val="1E293B"/>
          <w:sz w:val="22"/>
          <w:szCs w:val="22"/>
        </w:rPr>
        <w:t>3.5</w:t>
      </w:r>
      <w:r>
        <w:rPr>
          <w:rFonts w:ascii="Calibri" w:hAnsi="Calibri" w:cs="Calibri"/>
          <w:color w:val="1E293B"/>
          <w:sz w:val="22"/>
          <w:szCs w:val="22"/>
        </w:rPr>
        <w:t xml:space="preserve"> para a dimensão de Operações e Processos reflete empresas que já estabeleceram plataformas MLOps com feature stores, model registries e pipelines de monitoramento automatizado — referências como Nubank, Totvs e empresas de SaaS B2B de médio-grande porte brasileiras já operam com SLAs de inferência definidos por modelo (ex.: latência P99 &lt; 200ms, acurácia mínima de 92% para modelos de classificação de risco) e dashboards de observabilidade integrados a suas ferramentas de APM (Datadog, New Relic, Grafana com MLflow). O gap de </w:t>
      </w:r>
      <w:r>
        <w:rPr>
          <w:rStyle w:val="Forte"/>
          <w:rFonts w:ascii="Calibri" w:hAnsi="Calibri" w:cs="Calibri"/>
          <w:color w:val="1E293B"/>
          <w:sz w:val="22"/>
          <w:szCs w:val="22"/>
        </w:rPr>
        <w:t>1.19 pontos</w:t>
      </w:r>
      <w:r>
        <w:rPr>
          <w:rFonts w:ascii="Calibri" w:hAnsi="Calibri" w:cs="Calibri"/>
          <w:color w:val="1E293B"/>
          <w:sz w:val="22"/>
          <w:szCs w:val="22"/>
        </w:rPr>
        <w:t xml:space="preserve"> entre o score atual da Empresa Teste Maturidade IA (2.31 geral, ~2.0 nesta dimensão) e a média setorial não é meramente técnico — é um gap de </w:t>
      </w:r>
      <w:r>
        <w:rPr>
          <w:rStyle w:val="Forte"/>
          <w:rFonts w:ascii="Calibri" w:hAnsi="Calibri" w:cs="Calibri"/>
          <w:color w:val="1E293B"/>
          <w:sz w:val="22"/>
          <w:szCs w:val="22"/>
        </w:rPr>
        <w:t>governança operacional de IA</w:t>
      </w:r>
      <w:r>
        <w:rPr>
          <w:rFonts w:ascii="Calibri" w:hAnsi="Calibri" w:cs="Calibri"/>
          <w:color w:val="1E293B"/>
          <w:sz w:val="22"/>
          <w:szCs w:val="22"/>
        </w:rPr>
        <w:t>: concorrentes nesse nível já tratam modelos como produtos com lifecycle definido (versioning, deprecation policy, champion-challenger), enquanto a Empresa Teste Maturidade IA ainda trata modelos como scripts de análise avançada. Em termos práticos, isso significa que enquanto concorrentes conseguem lançar e validar novos modelos em ciclos de 2–3 semanas com segurança, a Empresa Teste Maturidade IA opera em ciclos mais longos com maior risco por deploy — uma desvantagem competitiva direta em velocidade de inovação de produto.</w:t>
      </w:r>
    </w:p>
    <w:p w14:paraId="25C5309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E205BE4">
          <v:rect id="_x0000_i1128" alt="" style="width:425.2pt;height:.05pt;mso-width-percent:0;mso-height-percent:0;mso-width-percent:0;mso-height-percent:0" o:hralign="center" o:hrstd="t" o:hr="t" fillcolor="#a0a0a0" stroked="f"/>
        </w:pict>
      </w:r>
    </w:p>
    <w:p w14:paraId="18E64BBB"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3.5.5 Recomendações Específicas</w:t>
      </w:r>
    </w:p>
    <w:p w14:paraId="55F3F8D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Implementar Model Registry com SLA Contracts por modelo em produção</w:t>
      </w:r>
    </w:p>
    <w:p w14:paraId="0B9EE50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Adotar um </w:t>
      </w:r>
      <w:r>
        <w:rPr>
          <w:rStyle w:val="Forte"/>
          <w:rFonts w:ascii="Calibri" w:hAnsi="Calibri" w:cs="Calibri"/>
          <w:color w:val="1E293B"/>
          <w:sz w:val="22"/>
          <w:szCs w:val="22"/>
        </w:rPr>
        <w:t>Model Registry centralizado</w:t>
      </w:r>
      <w:r>
        <w:rPr>
          <w:rFonts w:ascii="Calibri" w:hAnsi="Calibri" w:cs="Calibri"/>
          <w:color w:val="1E293B"/>
          <w:sz w:val="22"/>
          <w:szCs w:val="22"/>
        </w:rPr>
        <w:t xml:space="preserve"> (MLflow Registry, ou Vertex AI Model Registry se cloud GCP, ou SageMaker Model Registry para AWS) com ficha técnica obrigatória por modelo: proprietário, data de treinamento, métricas de validação, SLA de latência (P50/P95/P99), SLA de acurácia mínima aceitável e política de rollback automático. Cada modelo em produção deve ter um "contrato operacional" análogo ao runbook de um serviço crítico. No </w:t>
      </w:r>
      <w:r>
        <w:rPr>
          <w:rStyle w:val="Forte"/>
          <w:rFonts w:ascii="Calibri" w:hAnsi="Calibri" w:cs="Calibri"/>
          <w:color w:val="1E293B"/>
          <w:sz w:val="22"/>
          <w:szCs w:val="22"/>
        </w:rPr>
        <w:t>Playbook Atlas</w:t>
      </w:r>
      <w:r>
        <w:rPr>
          <w:rFonts w:ascii="Calibri" w:hAnsi="Calibri" w:cs="Calibri"/>
          <w:color w:val="1E293B"/>
          <w:sz w:val="22"/>
          <w:szCs w:val="22"/>
        </w:rPr>
        <w:t xml:space="preserve">, acionar o blueprint </w:t>
      </w:r>
      <w:r>
        <w:rPr>
          <w:rStyle w:val="Forte"/>
          <w:rFonts w:ascii="Calibri" w:hAnsi="Calibri" w:cs="Calibri"/>
          <w:color w:val="1E293B"/>
          <w:sz w:val="22"/>
          <w:szCs w:val="22"/>
        </w:rPr>
        <w:t>MLOps Governance Engine</w:t>
      </w:r>
      <w:r>
        <w:rPr>
          <w:rFonts w:ascii="Calibri" w:hAnsi="Calibri" w:cs="Calibri"/>
          <w:color w:val="1E293B"/>
          <w:sz w:val="22"/>
          <w:szCs w:val="22"/>
        </w:rPr>
        <w:t xml:space="preserve"> com o componente </w:t>
      </w:r>
      <w:r>
        <w:rPr>
          <w:rStyle w:val="Forte"/>
          <w:rFonts w:ascii="Calibri" w:hAnsi="Calibri" w:cs="Calibri"/>
          <w:color w:val="1E293B"/>
          <w:sz w:val="22"/>
          <w:szCs w:val="22"/>
        </w:rPr>
        <w:t>Model Card Generator + SLA Policy Template</w:t>
      </w:r>
      <w:r>
        <w:rPr>
          <w:rFonts w:ascii="Calibri" w:hAnsi="Calibri" w:cs="Calibri"/>
          <w:color w:val="1E293B"/>
          <w:sz w:val="22"/>
          <w:szCs w:val="22"/>
        </w:rPr>
        <w:t xml:space="preserve"> para padronizar a documentação operacional de todos os modelos existentes em menos de 60 dias.</w:t>
      </w:r>
    </w:p>
    <w:p w14:paraId="69C597A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Implementar pipeline de monitoramento contínuo com detecção de drift</w:t>
      </w:r>
    </w:p>
    <w:p w14:paraId="5C57FED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Instrumentar todos os modelos em produção com monitoramento de </w:t>
      </w:r>
      <w:r>
        <w:rPr>
          <w:rStyle w:val="Forte"/>
          <w:rFonts w:ascii="Calibri" w:hAnsi="Calibri" w:cs="Calibri"/>
          <w:color w:val="1E293B"/>
          <w:sz w:val="22"/>
          <w:szCs w:val="22"/>
        </w:rPr>
        <w:t>data drift</w:t>
      </w:r>
      <w:r>
        <w:rPr>
          <w:rFonts w:ascii="Calibri" w:hAnsi="Calibri" w:cs="Calibri"/>
          <w:color w:val="1E293B"/>
          <w:sz w:val="22"/>
          <w:szCs w:val="22"/>
        </w:rPr>
        <w:t xml:space="preserve"> (distribuição de features de entrada) e </w:t>
      </w:r>
      <w:r>
        <w:rPr>
          <w:rStyle w:val="Forte"/>
          <w:rFonts w:ascii="Calibri" w:hAnsi="Calibri" w:cs="Calibri"/>
          <w:color w:val="1E293B"/>
          <w:sz w:val="22"/>
          <w:szCs w:val="22"/>
        </w:rPr>
        <w:t>concept drift</w:t>
      </w:r>
      <w:r>
        <w:rPr>
          <w:rFonts w:ascii="Calibri" w:hAnsi="Calibri" w:cs="Calibri"/>
          <w:color w:val="1E293B"/>
          <w:sz w:val="22"/>
          <w:szCs w:val="22"/>
        </w:rPr>
        <w:t xml:space="preserve"> (distribuição de predições e outcomes reais) usando ferramentas como </w:t>
      </w:r>
      <w:r>
        <w:rPr>
          <w:rStyle w:val="Forte"/>
          <w:rFonts w:ascii="Calibri" w:hAnsi="Calibri" w:cs="Calibri"/>
          <w:color w:val="1E293B"/>
          <w:sz w:val="22"/>
          <w:szCs w:val="22"/>
        </w:rPr>
        <w:t>Evidently AI</w:t>
      </w:r>
      <w:r>
        <w:rPr>
          <w:rFonts w:ascii="Calibri" w:hAnsi="Calibri" w:cs="Calibri"/>
          <w:color w:val="1E293B"/>
          <w:sz w:val="22"/>
          <w:szCs w:val="22"/>
        </w:rPr>
        <w:t xml:space="preserve">, </w:t>
      </w:r>
      <w:r>
        <w:rPr>
          <w:rStyle w:val="Forte"/>
          <w:rFonts w:ascii="Calibri" w:hAnsi="Calibri" w:cs="Calibri"/>
          <w:color w:val="1E293B"/>
          <w:sz w:val="22"/>
          <w:szCs w:val="22"/>
        </w:rPr>
        <w:t>WhyLabs</w:t>
      </w:r>
      <w:r>
        <w:rPr>
          <w:rFonts w:ascii="Calibri" w:hAnsi="Calibri" w:cs="Calibri"/>
          <w:color w:val="1E293B"/>
          <w:sz w:val="22"/>
          <w:szCs w:val="22"/>
        </w:rPr>
        <w:t xml:space="preserve"> ou </w:t>
      </w:r>
      <w:r>
        <w:rPr>
          <w:rStyle w:val="Forte"/>
          <w:rFonts w:ascii="Calibri" w:hAnsi="Calibri" w:cs="Calibri"/>
          <w:color w:val="1E293B"/>
          <w:sz w:val="22"/>
          <w:szCs w:val="22"/>
        </w:rPr>
        <w:t>Arize</w:t>
      </w:r>
      <w:r>
        <w:rPr>
          <w:rFonts w:ascii="Calibri" w:hAnsi="Calibri" w:cs="Calibri"/>
          <w:color w:val="1E293B"/>
          <w:sz w:val="22"/>
          <w:szCs w:val="22"/>
        </w:rPr>
        <w:t xml:space="preserve"> — integradas ao stack de observabilidade existente (Datadog/Grafana). Configurar alertas automáticos com thresholds definidos por modelo e playbook de resposta (retreinamento automático vs. revisão manual vs. rollback). No </w:t>
      </w:r>
      <w:r>
        <w:rPr>
          <w:rStyle w:val="Forte"/>
          <w:rFonts w:ascii="Calibri" w:hAnsi="Calibri" w:cs="Calibri"/>
          <w:color w:val="1E293B"/>
          <w:sz w:val="22"/>
          <w:szCs w:val="22"/>
        </w:rPr>
        <w:t>Playbook Atlas</w:t>
      </w:r>
      <w:r>
        <w:rPr>
          <w:rFonts w:ascii="Calibri" w:hAnsi="Calibri" w:cs="Calibri"/>
          <w:color w:val="1E293B"/>
          <w:sz w:val="22"/>
          <w:szCs w:val="22"/>
        </w:rPr>
        <w:t xml:space="preserve">, o componente </w:t>
      </w:r>
      <w:r>
        <w:rPr>
          <w:rStyle w:val="Forte"/>
          <w:rFonts w:ascii="Calibri" w:hAnsi="Calibri" w:cs="Calibri"/>
          <w:color w:val="1E293B"/>
          <w:sz w:val="22"/>
          <w:szCs w:val="22"/>
        </w:rPr>
        <w:t>Model Observability Agent</w:t>
      </w:r>
      <w:r>
        <w:rPr>
          <w:rFonts w:ascii="Calibri" w:hAnsi="Calibri" w:cs="Calibri"/>
          <w:color w:val="1E293B"/>
          <w:sz w:val="22"/>
          <w:szCs w:val="22"/>
        </w:rPr>
        <w:t xml:space="preserve"> do módulo </w:t>
      </w:r>
      <w:r>
        <w:rPr>
          <w:rStyle w:val="Forte"/>
          <w:rFonts w:ascii="Calibri" w:hAnsi="Calibri" w:cs="Calibri"/>
          <w:color w:val="1E293B"/>
          <w:sz w:val="22"/>
          <w:szCs w:val="22"/>
        </w:rPr>
        <w:t>MLOps Monitoring Suite</w:t>
      </w:r>
      <w:r>
        <w:rPr>
          <w:rFonts w:ascii="Calibri" w:hAnsi="Calibri" w:cs="Calibri"/>
          <w:color w:val="1E293B"/>
          <w:sz w:val="22"/>
          <w:szCs w:val="22"/>
        </w:rPr>
        <w:t xml:space="preserve"> provê templates de detecção de drift pré-configurados para modelos de classificação, regressão e ranking — os tipos mais comuns em operações de tecnologia (scoring de qualidade de código, triagem de tickets, detecção de anomalia).</w:t>
      </w:r>
    </w:p>
    <w:p w14:paraId="36D967A3"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Padronizar integração de modelos via API Gateway de Inferência</w:t>
      </w:r>
    </w:p>
    <w:p w14:paraId="4D699BA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Substituir integrações ad hoc (scripts, ETLs manuais) por um </w:t>
      </w:r>
      <w:r>
        <w:rPr>
          <w:rStyle w:val="Forte"/>
          <w:rFonts w:ascii="Calibri" w:hAnsi="Calibri" w:cs="Calibri"/>
          <w:color w:val="1E293B"/>
          <w:sz w:val="22"/>
          <w:szCs w:val="22"/>
        </w:rPr>
        <w:t>Inference API Gateway</w:t>
      </w:r>
      <w:r>
        <w:rPr>
          <w:rFonts w:ascii="Calibri" w:hAnsi="Calibri" w:cs="Calibri"/>
          <w:color w:val="1E293B"/>
          <w:sz w:val="22"/>
          <w:szCs w:val="22"/>
        </w:rPr>
        <w:t xml:space="preserve"> padronizado — padrão REST/gRPC com autenticação, versionamento de endpoint (v1/v2), circuit breaker e fallback configurável. Isso desacopla os modelos dos sistemas legados e permite atualizações sem downtime. Usar </w:t>
      </w:r>
      <w:r>
        <w:rPr>
          <w:rStyle w:val="Forte"/>
          <w:rFonts w:ascii="Calibri" w:hAnsi="Calibri" w:cs="Calibri"/>
          <w:color w:val="1E293B"/>
          <w:sz w:val="22"/>
          <w:szCs w:val="22"/>
        </w:rPr>
        <w:t>BentoML</w:t>
      </w:r>
      <w:r>
        <w:rPr>
          <w:rFonts w:ascii="Calibri" w:hAnsi="Calibri" w:cs="Calibri"/>
          <w:color w:val="1E293B"/>
          <w:sz w:val="22"/>
          <w:szCs w:val="22"/>
        </w:rPr>
        <w:t xml:space="preserve">, </w:t>
      </w:r>
      <w:r>
        <w:rPr>
          <w:rStyle w:val="Forte"/>
          <w:rFonts w:ascii="Calibri" w:hAnsi="Calibri" w:cs="Calibri"/>
          <w:color w:val="1E293B"/>
          <w:sz w:val="22"/>
          <w:szCs w:val="22"/>
        </w:rPr>
        <w:t>Ray Serve</w:t>
      </w:r>
      <w:r>
        <w:rPr>
          <w:rFonts w:ascii="Calibri" w:hAnsi="Calibri" w:cs="Calibri"/>
          <w:color w:val="1E293B"/>
          <w:sz w:val="22"/>
          <w:szCs w:val="22"/>
        </w:rPr>
        <w:t xml:space="preserve"> ou </w:t>
      </w:r>
      <w:r>
        <w:rPr>
          <w:rStyle w:val="Forte"/>
          <w:rFonts w:ascii="Calibri" w:hAnsi="Calibri" w:cs="Calibri"/>
          <w:color w:val="1E293B"/>
          <w:sz w:val="22"/>
          <w:szCs w:val="22"/>
        </w:rPr>
        <w:t>Seldon Core</w:t>
      </w:r>
      <w:r>
        <w:rPr>
          <w:rFonts w:ascii="Calibri" w:hAnsi="Calibri" w:cs="Calibri"/>
          <w:color w:val="1E293B"/>
          <w:sz w:val="22"/>
          <w:szCs w:val="22"/>
        </w:rPr>
        <w:t xml:space="preserve"> conforme o stack existente. O </w:t>
      </w:r>
      <w:r>
        <w:rPr>
          <w:rStyle w:val="Forte"/>
          <w:rFonts w:ascii="Calibri" w:hAnsi="Calibri" w:cs="Calibri"/>
          <w:color w:val="1E293B"/>
          <w:sz w:val="22"/>
          <w:szCs w:val="22"/>
        </w:rPr>
        <w:t>Playbook Atlas</w:t>
      </w:r>
      <w:r>
        <w:rPr>
          <w:rFonts w:ascii="Calibri" w:hAnsi="Calibri" w:cs="Calibri"/>
          <w:color w:val="1E293B"/>
          <w:sz w:val="22"/>
          <w:szCs w:val="22"/>
        </w:rPr>
        <w:t xml:space="preserve"> disponibiliza o blueprint </w:t>
      </w:r>
      <w:r>
        <w:rPr>
          <w:rStyle w:val="Forte"/>
          <w:rFonts w:ascii="Calibri" w:hAnsi="Calibri" w:cs="Calibri"/>
          <w:color w:val="1E293B"/>
          <w:sz w:val="22"/>
          <w:szCs w:val="22"/>
        </w:rPr>
        <w:t>AI Integration Gateway</w:t>
      </w:r>
      <w:r>
        <w:rPr>
          <w:rFonts w:ascii="Calibri" w:hAnsi="Calibri" w:cs="Calibri"/>
          <w:color w:val="1E293B"/>
          <w:sz w:val="22"/>
          <w:szCs w:val="22"/>
        </w:rPr>
        <w:t xml:space="preserve"> com conectores pré-construídos para sistemas ERP/CRM comuns no mercado brasileiro, reduzindo o tempo de integração de semanas para dias.</w:t>
      </w:r>
    </w:p>
    <w:p w14:paraId="67851B6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Estruturar CI/CD for ML (MLOps Pipeline) com quality gates obrigatórios</w:t>
      </w:r>
    </w:p>
    <w:p w14:paraId="787A028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Evoluir o pipeline de deploy existente ([Q5] = 2.22 — o ponto mais avançado da dimensão) inserindo </w:t>
      </w:r>
      <w:r>
        <w:rPr>
          <w:rStyle w:val="Forte"/>
          <w:rFonts w:ascii="Calibri" w:hAnsi="Calibri" w:cs="Calibri"/>
          <w:color w:val="1E293B"/>
          <w:sz w:val="22"/>
          <w:szCs w:val="22"/>
        </w:rPr>
        <w:t>quality gates automatizados</w:t>
      </w:r>
      <w:r>
        <w:rPr>
          <w:rFonts w:ascii="Calibri" w:hAnsi="Calibri" w:cs="Calibri"/>
          <w:color w:val="1E293B"/>
          <w:sz w:val="22"/>
          <w:szCs w:val="22"/>
        </w:rPr>
        <w:t xml:space="preserve">: validação de schema de dados, teste de performance vs. champion model (shadow deployment ou A/B test), teste de fairness/bias para modelos que impactam decisões sobre pessoas, e gate de aprovação humana para modelos de alto risco. Referenciar o framework </w:t>
      </w:r>
      <w:r>
        <w:rPr>
          <w:rStyle w:val="Forte"/>
          <w:rFonts w:ascii="Calibri" w:hAnsi="Calibri" w:cs="Calibri"/>
          <w:color w:val="1E293B"/>
          <w:sz w:val="22"/>
          <w:szCs w:val="22"/>
        </w:rPr>
        <w:t>DORA Metrics</w:t>
      </w:r>
      <w:r>
        <w:rPr>
          <w:rFonts w:ascii="Calibri" w:hAnsi="Calibri" w:cs="Calibri"/>
          <w:color w:val="1E293B"/>
          <w:sz w:val="22"/>
          <w:szCs w:val="22"/>
        </w:rPr>
        <w:t xml:space="preserve"> para medir a saúde do pipeline: </w:t>
      </w:r>
      <w:r>
        <w:rPr>
          <w:rStyle w:val="Forte"/>
          <w:rFonts w:ascii="Calibri" w:hAnsi="Calibri" w:cs="Calibri"/>
          <w:color w:val="1E293B"/>
          <w:sz w:val="22"/>
          <w:szCs w:val="22"/>
        </w:rPr>
        <w:t>Deployment Frequency</w:t>
      </w:r>
      <w:r>
        <w:rPr>
          <w:rFonts w:ascii="Calibri" w:hAnsi="Calibri" w:cs="Calibri"/>
          <w:color w:val="1E293B"/>
          <w:sz w:val="22"/>
          <w:szCs w:val="22"/>
        </w:rPr>
        <w:t xml:space="preserve"> (meta: ≥ 2 deploys/mês por modelo ativo), </w:t>
      </w:r>
      <w:r>
        <w:rPr>
          <w:rStyle w:val="Forte"/>
          <w:rFonts w:ascii="Calibri" w:hAnsi="Calibri" w:cs="Calibri"/>
          <w:color w:val="1E293B"/>
          <w:sz w:val="22"/>
          <w:szCs w:val="22"/>
        </w:rPr>
        <w:t>Change Failure Rate</w:t>
      </w:r>
      <w:r>
        <w:rPr>
          <w:rFonts w:ascii="Calibri" w:hAnsi="Calibri" w:cs="Calibri"/>
          <w:color w:val="1E293B"/>
          <w:sz w:val="22"/>
          <w:szCs w:val="22"/>
        </w:rPr>
        <w:t xml:space="preserve"> (meta: &lt; 10% de deploys causando degradação), </w:t>
      </w:r>
      <w:r>
        <w:rPr>
          <w:rStyle w:val="Forte"/>
          <w:rFonts w:ascii="Calibri" w:hAnsi="Calibri" w:cs="Calibri"/>
          <w:color w:val="1E293B"/>
          <w:sz w:val="22"/>
          <w:szCs w:val="22"/>
        </w:rPr>
        <w:t>Mean Time to Recovery</w:t>
      </w:r>
      <w:r>
        <w:rPr>
          <w:rFonts w:ascii="Calibri" w:hAnsi="Calibri" w:cs="Calibri"/>
          <w:color w:val="1E293B"/>
          <w:sz w:val="22"/>
          <w:szCs w:val="22"/>
        </w:rPr>
        <w:t xml:space="preserve"> para modelos (meta: &lt; 4h). No </w:t>
      </w:r>
      <w:r>
        <w:rPr>
          <w:rStyle w:val="Forte"/>
          <w:rFonts w:ascii="Calibri" w:hAnsi="Calibri" w:cs="Calibri"/>
          <w:color w:val="1E293B"/>
          <w:sz w:val="22"/>
          <w:szCs w:val="22"/>
        </w:rPr>
        <w:t>Playbook Atlas</w:t>
      </w:r>
      <w:r>
        <w:rPr>
          <w:rFonts w:ascii="Calibri" w:hAnsi="Calibri" w:cs="Calibri"/>
          <w:color w:val="1E293B"/>
          <w:sz w:val="22"/>
          <w:szCs w:val="22"/>
        </w:rPr>
        <w:t xml:space="preserve">, o componente </w:t>
      </w:r>
      <w:r>
        <w:rPr>
          <w:rStyle w:val="Forte"/>
          <w:rFonts w:ascii="Calibri" w:hAnsi="Calibri" w:cs="Calibri"/>
          <w:color w:val="1E293B"/>
          <w:sz w:val="22"/>
          <w:szCs w:val="22"/>
        </w:rPr>
        <w:t>MLOps CI/CD Accelerator</w:t>
      </w:r>
      <w:r>
        <w:rPr>
          <w:rFonts w:ascii="Calibri" w:hAnsi="Calibri" w:cs="Calibri"/>
          <w:color w:val="1E293B"/>
          <w:sz w:val="22"/>
          <w:szCs w:val="22"/>
        </w:rPr>
        <w:t xml:space="preserve"> inclui templates de pipeline para GitHub Actions e GitLab CI com todos os quality gates pré-configurados.</w:t>
      </w:r>
    </w:p>
    <w:p w14:paraId="7BC0F93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978B169">
          <v:rect id="_x0000_i1127" alt="" style="width:425.2pt;height:.05pt;mso-width-percent:0;mso-height-percent:0;mso-width-percent:0;mso-height-percent:0" o:hralign="center" o:hrstd="t" o:hr="t" fillcolor="#a0a0a0" stroked="f"/>
        </w:pict>
      </w:r>
    </w:p>
    <w:p w14:paraId="3526C2E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3.5.6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4526"/>
        <w:gridCol w:w="1517"/>
        <w:gridCol w:w="1202"/>
        <w:gridCol w:w="1243"/>
      </w:tblGrid>
      <w:tr w:rsidR="00000000" w14:paraId="78DEBD82" w14:textId="77777777">
        <w:trPr>
          <w:divId w:val="208930783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B0ECEE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223A73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CD1DCA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A0A515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E9EF337" w14:textId="77777777">
        <w:trPr>
          <w:divId w:val="20893078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1914B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modelos em produção com SLA formalmente definido</w:t>
            </w:r>
            <w:r>
              <w:rPr>
                <w:rFonts w:ascii="Calibri" w:eastAsia="Times New Roman" w:hAnsi="Calibri" w:cs="Calibri"/>
                <w:color w:val="1E293B"/>
                <w:sz w:val="21"/>
                <w:szCs w:val="21"/>
              </w:rPr>
              <w:t xml:space="preserve"> (latência + acurácia mínima)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13BBCD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C9601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77810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w:t>
            </w:r>
          </w:p>
        </w:tc>
      </w:tr>
      <w:tr w:rsidR="00000000" w14:paraId="7B52784A" w14:textId="77777777">
        <w:trPr>
          <w:divId w:val="20893078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2E56BD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de monitoramento de drift</w:t>
            </w:r>
            <w:r>
              <w:rPr>
                <w:rFonts w:ascii="Calibri" w:eastAsia="Times New Roman" w:hAnsi="Calibri" w:cs="Calibri"/>
                <w:color w:val="1E293B"/>
                <w:sz w:val="21"/>
                <w:szCs w:val="21"/>
              </w:rPr>
              <w:t xml:space="preserve"> (% de modelos com alertas automáticos ativos)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67997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15%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F7702B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3B0A9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90%</w:t>
            </w:r>
          </w:p>
        </w:tc>
      </w:tr>
      <w:tr w:rsidR="00000000" w14:paraId="1DD04F00" w14:textId="77777777">
        <w:trPr>
          <w:divId w:val="20893078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DDB8E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MTTR de modelos degradados</w:t>
            </w:r>
            <w:r>
              <w:rPr>
                <w:rFonts w:ascii="Calibri" w:eastAsia="Times New Roman" w:hAnsi="Calibri" w:cs="Calibri"/>
                <w:color w:val="1E293B"/>
                <w:sz w:val="21"/>
                <w:szCs w:val="21"/>
              </w:rPr>
              <w:t xml:space="preserve"> (Mean Time to Recovery — da detecção à correção)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60B3F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&gt; 5 dias (reativo)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9872D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48h</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79E19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8h</w:t>
            </w:r>
          </w:p>
        </w:tc>
      </w:tr>
      <w:tr w:rsidR="00000000" w14:paraId="61406491" w14:textId="77777777">
        <w:trPr>
          <w:divId w:val="20893078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73711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Change Failure Rate de deploys de modelos</w:t>
            </w:r>
            <w:r>
              <w:rPr>
                <w:rFonts w:ascii="Calibri" w:eastAsia="Times New Roman" w:hAnsi="Calibri" w:cs="Calibri"/>
                <w:color w:val="1E293B"/>
                <w:sz w:val="21"/>
                <w:szCs w:val="21"/>
              </w:rPr>
              <w:t xml:space="preserve"> (% de deploys que causam degradação de performance)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C755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 (estimado)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2CD12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20%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6008D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10%</w:t>
            </w:r>
          </w:p>
        </w:tc>
      </w:tr>
      <w:tr w:rsidR="00000000" w14:paraId="260DF9E9" w14:textId="77777777">
        <w:trPr>
          <w:divId w:val="20893078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5EF28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integrações de modelos via API Gateway padronizado</w:t>
            </w:r>
            <w:r>
              <w:rPr>
                <w:rFonts w:ascii="Calibri" w:eastAsia="Times New Roman" w:hAnsi="Calibri" w:cs="Calibri"/>
                <w:color w:val="1E293B"/>
                <w:sz w:val="21"/>
                <w:szCs w:val="21"/>
              </w:rPr>
              <w:t xml:space="preserve"> (vs. scripts/ETL ad hoc)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B8C10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59FD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26CE1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95%</w:t>
            </w:r>
          </w:p>
        </w:tc>
      </w:tr>
    </w:tbl>
    <w:p w14:paraId="01392CAD"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3.6 Dimensão — Inovação e Experimentação — Score 2.44 · Nível 2</w:t>
      </w:r>
    </w:p>
    <w:p w14:paraId="0973A8D7"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3.6.1 Análise Diagnóstica</w:t>
      </w:r>
    </w:p>
    <w:p w14:paraId="3520F83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de </w:t>
      </w:r>
      <w:r>
        <w:rPr>
          <w:rStyle w:val="Forte"/>
          <w:rFonts w:ascii="Calibri" w:hAnsi="Calibri" w:cs="Calibri"/>
          <w:color w:val="1E293B"/>
          <w:sz w:val="22"/>
          <w:szCs w:val="22"/>
        </w:rPr>
        <w:t>2.31</w:t>
      </w:r>
      <w:r>
        <w:rPr>
          <w:rFonts w:ascii="Calibri" w:hAnsi="Calibri" w:cs="Calibri"/>
          <w:color w:val="1E293B"/>
          <w:sz w:val="22"/>
          <w:szCs w:val="22"/>
        </w:rPr>
        <w:t xml:space="preserve"> na dimensão de Inovação e Experimentação revela uma empresa que ainda não institucionalizou a experimentação como motor estratégico de vantagem competitiva — e os dados por pergunta detalham onde essa tensão se manifesta com mais intensidade. O resultado de [Q1] (2.88) indica que a Empresa Teste Maturidade IA possui alguma infraestrutura para experimentação — possivelmente ambientes isolados ou projetos-piloto ad hoc — mas sem a formalização de um laboratório de IA com backlog próprio, orçamento dedicado e critérios de entrada/saída. Para uma empresa de tecnologia de grande porte, isso equivale a operar com uma bancada de testes improvisada enquanto concorrentes constroem aceleradores internos como o AWS Lab45, o Google DeepMind Applied ou o IBM Client Engineering — estruturas que encurtam o ciclo ideia-experimento-produto de meses para semanas. A ausência de um sandbox estruturado não apenas desacelera a inovação; ela cria uma cultura de avaliação informal, onde boas ideias naufragam por falta de metodologia e não por falta de mérito técnico.</w:t>
      </w:r>
    </w:p>
    <w:p w14:paraId="4CDFB04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padrão mais crítico emerge na leitura combinada de [Q2] (2.5) e [Q5] (2.38): a empresa não tem processo ágil para testar rapidamente nem mecanismo robusto para escalar o que funciona. Em termos de MLOps, isso representa um gargalo entre a fase de </w:t>
      </w:r>
      <w:r>
        <w:rPr>
          <w:rStyle w:val="nfase"/>
          <w:rFonts w:ascii="Calibri" w:hAnsi="Calibri" w:cs="Calibri"/>
          <w:color w:val="1E293B"/>
          <w:sz w:val="22"/>
          <w:szCs w:val="22"/>
        </w:rPr>
        <w:t>proof of concept</w:t>
      </w:r>
      <w:r>
        <w:rPr>
          <w:rFonts w:ascii="Calibri" w:hAnsi="Calibri" w:cs="Calibri"/>
          <w:color w:val="1E293B"/>
          <w:sz w:val="22"/>
          <w:szCs w:val="22"/>
        </w:rPr>
        <w:t xml:space="preserve"> e a promoção para produção — o chamado "valley of death" da experimentação corporativa. Na prática, uma ideia de otimização de pipeline de CI/CD com IA, um agente de observabilidade ou um modelo de code generation baseado em LLM pode demonstrar valor em sandbox e jamais chegar a escala porque não há owner definido, critério de sucesso formalizados, nem rota de integração com a arquitetura de produção. O score de [Q3] (3.13), ligeiramente mais alto, indica que a empresa até monitora o estado da arte — lê relatórios, acompanha lançamentos de ferramentas como GitHub Copilot Enterprise, Devin, ou os modelos da família GPT-4o/Claude 3.5 — mas não converte esse acompanhamento em capacidade experimental tangível.</w:t>
      </w:r>
    </w:p>
    <w:p w14:paraId="3C7AAF3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sinal mais preocupante do conjunto vem de [Q4] e [Q6], ambos em </w:t>
      </w:r>
      <w:r>
        <w:rPr>
          <w:rStyle w:val="Forte"/>
          <w:rFonts w:ascii="Calibri" w:hAnsi="Calibri" w:cs="Calibri"/>
          <w:color w:val="1E293B"/>
          <w:sz w:val="22"/>
          <w:szCs w:val="22"/>
        </w:rPr>
        <w:t>1.88</w:t>
      </w:r>
      <w:r>
        <w:rPr>
          <w:rFonts w:ascii="Calibri" w:hAnsi="Calibri" w:cs="Calibri"/>
          <w:color w:val="1E293B"/>
          <w:sz w:val="22"/>
          <w:szCs w:val="22"/>
        </w:rPr>
        <w:t xml:space="preserve"> — os menores scores da dimensão e entre os mais baixos do assessment. Em empresas de tecnologia de grande porte, a colaboração com ecossistema externo (universidades, startups, institutos de pesquisa como o C2D da USP, o ITA ou o Inria Brasil) e a contribuição com a comunidade (open source, publicações, hackathons, trilhas em eventos como TDC ou GPTW Tech) são alavancas de recrutamento de talentos, de legitimidade técnica e de acesso antecipado a inovações pré-competitivas. O score de 1.88 nesses dois vetores sinaliza que a Empresa Teste Maturidade IA ainda opera em modo endógeno — consumindo inovação sem gerar reciprocidade — o que, no médio prazo, enfraquece o posicionamento da empresa como referência técnica no mercado de IA brasileiro.</w:t>
      </w:r>
    </w:p>
    <w:p w14:paraId="49A1505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AD4D2C0">
          <v:rect id="_x0000_i1126" alt="" style="width:425.2pt;height:.05pt;mso-width-percent:0;mso-height-percent:0;mso-width-percent:0;mso-height-percent:0" o:hralign="center" o:hrstd="t" o:hr="t" fillcolor="#a0a0a0" stroked="f"/>
        </w:pict>
      </w:r>
    </w:p>
    <w:p w14:paraId="4C93CE4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3.6.2 Evidências Críticas</w:t>
      </w:r>
    </w:p>
    <w:p w14:paraId="5D5D6E3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w:t>
      </w:r>
    </w:p>
    <w:p w14:paraId="645AB19C" w14:textId="77777777" w:rsidR="00000000" w:rsidRDefault="00000000">
      <w:pPr>
        <w:numPr>
          <w:ilvl w:val="0"/>
          <w:numId w:val="2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Colaboração com universidades, startups ou institutos → 1.88</w:t>
      </w:r>
      <w:r>
        <w:rPr>
          <w:rFonts w:ascii="Calibri" w:eastAsia="Times New Roman" w:hAnsi="Calibri" w:cs="Calibri"/>
          <w:color w:val="1E293B"/>
          <w:sz w:val="22"/>
          <w:szCs w:val="22"/>
        </w:rPr>
        <w:t>: ausência de parcerias formalizadas com centros de pesquisa (ex.: UFPE CIn, USP IME, PUC-Rio), sem programas de co-inovação ou bolsas de pesquisa aplicada. Isso isola a empresa do fluxo de conhecimento pré-competitivo e reduz o pipeline de talentos especializados em IA.</w:t>
      </w:r>
    </w:p>
    <w:p w14:paraId="065CA842" w14:textId="77777777" w:rsidR="00000000" w:rsidRDefault="00000000">
      <w:pPr>
        <w:numPr>
          <w:ilvl w:val="0"/>
          <w:numId w:val="2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Contribuição para a comunidade de IA → 1.88</w:t>
      </w:r>
      <w:r>
        <w:rPr>
          <w:rFonts w:ascii="Calibri" w:eastAsia="Times New Roman" w:hAnsi="Calibri" w:cs="Calibri"/>
          <w:color w:val="1E293B"/>
          <w:sz w:val="22"/>
          <w:szCs w:val="22"/>
        </w:rPr>
        <w:t>: nenhuma estratégia visível de open source interno, ausência de papers técnicos, sem presença ativa em comunidades como Hugging Face, LangChain community, PyTorch forums ou GitHub OSS. Em empresas de tecnologia, contribuição com comunidade é proxy direto de atração de engenheiros sênior.</w:t>
      </w:r>
    </w:p>
    <w:p w14:paraId="2BAFA5BF" w14:textId="77777777" w:rsidR="00000000" w:rsidRDefault="00000000">
      <w:pPr>
        <w:numPr>
          <w:ilvl w:val="0"/>
          <w:numId w:val="2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Processo para escalar experimentos bem-sucedidos → 2.38</w:t>
      </w:r>
      <w:r>
        <w:rPr>
          <w:rFonts w:ascii="Calibri" w:eastAsia="Times New Roman" w:hAnsi="Calibri" w:cs="Calibri"/>
          <w:color w:val="1E293B"/>
          <w:sz w:val="22"/>
          <w:szCs w:val="22"/>
        </w:rPr>
        <w:t xml:space="preserve">: sem critérios de </w:t>
      </w:r>
      <w:r>
        <w:rPr>
          <w:rStyle w:val="nfase"/>
          <w:rFonts w:ascii="Calibri" w:eastAsia="Times New Roman" w:hAnsi="Calibri" w:cs="Calibri"/>
          <w:color w:val="1E293B"/>
          <w:sz w:val="22"/>
          <w:szCs w:val="22"/>
        </w:rPr>
        <w:t>graduation</w:t>
      </w:r>
      <w:r>
        <w:rPr>
          <w:rFonts w:ascii="Calibri" w:eastAsia="Times New Roman" w:hAnsi="Calibri" w:cs="Calibri"/>
          <w:color w:val="1E293B"/>
          <w:sz w:val="22"/>
          <w:szCs w:val="22"/>
        </w:rPr>
        <w:t xml:space="preserve"> de experimentos (ex.: métricas de negócio mínimas, cobertura de testes, SLA de produção), o pipeline de inovação funciona como funil sem saída — experimentos acumulam sem conversão.</w:t>
      </w:r>
    </w:p>
    <w:p w14:paraId="0C766BF4" w14:textId="77777777" w:rsidR="00000000" w:rsidRDefault="00000000">
      <w:pPr>
        <w:numPr>
          <w:ilvl w:val="0"/>
          <w:numId w:val="2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Processo para testar novas ideias rapidamente → 2.50</w:t>
      </w:r>
      <w:r>
        <w:rPr>
          <w:rFonts w:ascii="Calibri" w:eastAsia="Times New Roman" w:hAnsi="Calibri" w:cs="Calibri"/>
          <w:color w:val="1E293B"/>
          <w:sz w:val="22"/>
          <w:szCs w:val="22"/>
        </w:rPr>
        <w:t xml:space="preserve">: ciclos de validação lentos, sem uso sistemático de frameworks como </w:t>
      </w:r>
      <w:r>
        <w:rPr>
          <w:rStyle w:val="nfase"/>
          <w:rFonts w:ascii="Calibri" w:eastAsia="Times New Roman" w:hAnsi="Calibri" w:cs="Calibri"/>
          <w:color w:val="1E293B"/>
          <w:sz w:val="22"/>
          <w:szCs w:val="22"/>
        </w:rPr>
        <w:t>Design Sprint</w:t>
      </w:r>
      <w:r>
        <w:rPr>
          <w:rFonts w:ascii="Calibri" w:eastAsia="Times New Roman" w:hAnsi="Calibri" w:cs="Calibri"/>
          <w:color w:val="1E293B"/>
          <w:sz w:val="22"/>
          <w:szCs w:val="22"/>
        </w:rPr>
        <w:t xml:space="preserve"> adaptado para IA, </w:t>
      </w:r>
      <w:r>
        <w:rPr>
          <w:rStyle w:val="nfase"/>
          <w:rFonts w:ascii="Calibri" w:eastAsia="Times New Roman" w:hAnsi="Calibri" w:cs="Calibri"/>
          <w:color w:val="1E293B"/>
          <w:sz w:val="22"/>
          <w:szCs w:val="22"/>
        </w:rPr>
        <w:t>Lean ML</w:t>
      </w:r>
      <w:r>
        <w:rPr>
          <w:rFonts w:ascii="Calibri" w:eastAsia="Times New Roman" w:hAnsi="Calibri" w:cs="Calibri"/>
          <w:color w:val="1E293B"/>
          <w:sz w:val="22"/>
          <w:szCs w:val="22"/>
        </w:rPr>
        <w:t xml:space="preserve"> ou </w:t>
      </w:r>
      <w:r>
        <w:rPr>
          <w:rStyle w:val="nfase"/>
          <w:rFonts w:ascii="Calibri" w:eastAsia="Times New Roman" w:hAnsi="Calibri" w:cs="Calibri"/>
          <w:color w:val="1E293B"/>
          <w:sz w:val="22"/>
          <w:szCs w:val="22"/>
        </w:rPr>
        <w:t>Shape Up</w:t>
      </w:r>
      <w:r>
        <w:rPr>
          <w:rFonts w:ascii="Calibri" w:eastAsia="Times New Roman" w:hAnsi="Calibri" w:cs="Calibri"/>
          <w:color w:val="1E293B"/>
          <w:sz w:val="22"/>
          <w:szCs w:val="22"/>
        </w:rPr>
        <w:t>; isso eleva o custo de aprendizado e reduz a cadência de iterações.</w:t>
      </w:r>
    </w:p>
    <w:p w14:paraId="361821C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 (relativo):</w:t>
      </w:r>
    </w:p>
    <w:p w14:paraId="56D449E6" w14:textId="77777777" w:rsidR="00000000" w:rsidRDefault="00000000">
      <w:pPr>
        <w:numPr>
          <w:ilvl w:val="0"/>
          <w:numId w:val="2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Acompanhamento e adoção de novas tecnologias → 3.13</w:t>
      </w:r>
      <w:r>
        <w:rPr>
          <w:rFonts w:ascii="Calibri" w:eastAsia="Times New Roman" w:hAnsi="Calibri" w:cs="Calibri"/>
          <w:color w:val="1E293B"/>
          <w:sz w:val="22"/>
          <w:szCs w:val="22"/>
        </w:rPr>
        <w:t>: evidência de que existe monitoramento de tendências (provavelmente via newsletters técnicas, squads que avaliam ferramentas como LlamaIndex, CrewAI, ou novos modelos de foundation), mas sem pipeline estruturado de adoção.</w:t>
      </w:r>
    </w:p>
    <w:p w14:paraId="2923D366" w14:textId="77777777" w:rsidR="00000000" w:rsidRDefault="00000000">
      <w:pPr>
        <w:numPr>
          <w:ilvl w:val="0"/>
          <w:numId w:val="2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Existência de sandbox/laboratório → 2.88</w:t>
      </w:r>
      <w:r>
        <w:rPr>
          <w:rFonts w:ascii="Calibri" w:eastAsia="Times New Roman" w:hAnsi="Calibri" w:cs="Calibri"/>
          <w:color w:val="1E293B"/>
          <w:sz w:val="22"/>
          <w:szCs w:val="22"/>
        </w:rPr>
        <w:t>: algum nível de infraestrutura experimental existe — possivelmente ambientes de desenvolvimento isolados ou projetos internos de prova de conceito — mas sem governança de laboratório formal.</w:t>
      </w:r>
    </w:p>
    <w:p w14:paraId="5E71B789"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9F6CB33">
          <v:rect id="_x0000_i1125" alt="" style="width:425.2pt;height:.05pt;mso-width-percent:0;mso-height-percent:0;mso-width-percent:0;mso-height-percent:0" o:hralign="center" o:hrstd="t" o:hr="t" fillcolor="#a0a0a0" stroked="f"/>
        </w:pict>
      </w:r>
    </w:p>
    <w:p w14:paraId="4B9AE78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3.6.3 Risco de Negócio</w:t>
      </w:r>
    </w:p>
    <w:p w14:paraId="10B1CB7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risco central desta dimensão, se mantido o nível atual, não é a perda de uma funcionalidade específica — é a </w:t>
      </w:r>
      <w:r>
        <w:rPr>
          <w:rStyle w:val="Forte"/>
          <w:rFonts w:ascii="Calibri" w:hAnsi="Calibri" w:cs="Calibri"/>
          <w:color w:val="1E293B"/>
          <w:sz w:val="22"/>
          <w:szCs w:val="22"/>
        </w:rPr>
        <w:t>commoditização progressiva da capacidade de entrega de IA</w:t>
      </w:r>
      <w:r>
        <w:rPr>
          <w:rFonts w:ascii="Calibri" w:hAnsi="Calibri" w:cs="Calibri"/>
          <w:color w:val="1E293B"/>
          <w:sz w:val="22"/>
          <w:szCs w:val="22"/>
        </w:rPr>
        <w:t xml:space="preserve">. Em empresas de tecnologia de grande porte que atuam como fornecedoras de soluções digitais, a inovação experimental é o principal diferenciador contra concorrentes que entregam o mesmo stack tecnológico a preços inferiores. Sem laboratório estruturado, sem processo de escalonamento e sem ecossistema externo ativo, a Empresa Teste Maturidade IA corre o risco concreto de chegar ao mercado com soluções de IA que os clientes já viram em concorrentes — ou que o próprio cliente construiu internamente — perdendo tanto a narrativa de </w:t>
      </w:r>
      <w:r>
        <w:rPr>
          <w:rStyle w:val="nfase"/>
          <w:rFonts w:ascii="Calibri" w:hAnsi="Calibri" w:cs="Calibri"/>
          <w:color w:val="1E293B"/>
          <w:sz w:val="22"/>
          <w:szCs w:val="22"/>
        </w:rPr>
        <w:t>thought leadership</w:t>
      </w:r>
      <w:r>
        <w:rPr>
          <w:rFonts w:ascii="Calibri" w:hAnsi="Calibri" w:cs="Calibri"/>
          <w:color w:val="1E293B"/>
          <w:sz w:val="22"/>
          <w:szCs w:val="22"/>
        </w:rPr>
        <w:t xml:space="preserve"> quanto oportunidades de </w:t>
      </w:r>
      <w:r>
        <w:rPr>
          <w:rStyle w:val="nfase"/>
          <w:rFonts w:ascii="Calibri" w:hAnsi="Calibri" w:cs="Calibri"/>
          <w:color w:val="1E293B"/>
          <w:sz w:val="22"/>
          <w:szCs w:val="22"/>
        </w:rPr>
        <w:t>land and expand</w:t>
      </w:r>
      <w:r>
        <w:rPr>
          <w:rFonts w:ascii="Calibri" w:hAnsi="Calibri" w:cs="Calibri"/>
          <w:color w:val="1E293B"/>
          <w:sz w:val="22"/>
          <w:szCs w:val="22"/>
        </w:rPr>
        <w:t xml:space="preserve"> em contas estratégicas. Adicionalmente, a ausência de contribuição comunitária e parcerias acadêmicas deteriora silenciosamente o </w:t>
      </w:r>
      <w:r>
        <w:rPr>
          <w:rStyle w:val="nfase"/>
          <w:rFonts w:ascii="Calibri" w:hAnsi="Calibri" w:cs="Calibri"/>
          <w:color w:val="1E293B"/>
          <w:sz w:val="22"/>
          <w:szCs w:val="22"/>
        </w:rPr>
        <w:t>employer brand</w:t>
      </w:r>
      <w:r>
        <w:rPr>
          <w:rFonts w:ascii="Calibri" w:hAnsi="Calibri" w:cs="Calibri"/>
          <w:color w:val="1E293B"/>
          <w:sz w:val="22"/>
          <w:szCs w:val="22"/>
        </w:rPr>
        <w:t xml:space="preserve"> técnico: engenheiros sênior e pesquisadores de ML preferem empresas que geram conhecimento, não apenas o consomem, o que tende a criar um ciclo vicioso de saída de talentos de ponta e dificuldade de reposição justamente nos perfis mais críticos para inovação em IA.</w:t>
      </w:r>
    </w:p>
    <w:p w14:paraId="0FD7536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67BEA5D">
          <v:rect id="_x0000_i1124" alt="" style="width:425.2pt;height:.05pt;mso-width-percent:0;mso-height-percent:0;mso-width-percent:0;mso-height-percent:0" o:hralign="center" o:hrstd="t" o:hr="t" fillcolor="#a0a0a0" stroked="f"/>
        </w:pict>
      </w:r>
    </w:p>
    <w:p w14:paraId="52A7284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3.6.4 Benchmark Setorial</w:t>
      </w:r>
    </w:p>
    <w:p w14:paraId="71C001E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a média setorial de </w:t>
      </w:r>
      <w:r>
        <w:rPr>
          <w:rStyle w:val="Forte"/>
          <w:rFonts w:ascii="Calibri" w:hAnsi="Calibri" w:cs="Calibri"/>
          <w:color w:val="1E293B"/>
          <w:sz w:val="22"/>
          <w:szCs w:val="22"/>
        </w:rPr>
        <w:t>3.5</w:t>
      </w:r>
      <w:r>
        <w:rPr>
          <w:rFonts w:ascii="Calibri" w:hAnsi="Calibri" w:cs="Calibri"/>
          <w:color w:val="1E293B"/>
          <w:sz w:val="22"/>
          <w:szCs w:val="22"/>
        </w:rPr>
        <w:t xml:space="preserve"> nesta dimensão reflete empresas que já operam com laboratórios de IA formalizados — com budget dedicado, backlog priorizado por impacto e </w:t>
      </w:r>
      <w:r>
        <w:rPr>
          <w:rStyle w:val="nfase"/>
          <w:rFonts w:ascii="Calibri" w:hAnsi="Calibri" w:cs="Calibri"/>
          <w:color w:val="1E293B"/>
          <w:sz w:val="22"/>
          <w:szCs w:val="22"/>
        </w:rPr>
        <w:t>time-to-experiment</w:t>
      </w:r>
      <w:r>
        <w:rPr>
          <w:rFonts w:ascii="Calibri" w:hAnsi="Calibri" w:cs="Calibri"/>
          <w:color w:val="1E293B"/>
          <w:sz w:val="22"/>
          <w:szCs w:val="22"/>
        </w:rPr>
        <w:t xml:space="preserve"> medido em dias, não semanas. Referências como Totvs AI Lab, a prática de IA da CI&amp;T, o centro de inovação da Stefanini e a Dojo de IA da Softtek Brasil demonstram que empresas de tecnologia de médio e grande porte no Brasil já institucionalizaram ciclos de experimentação com LLMs aplicados a developer productivity, automação de testes e geração de documentação técnica — e algumas já contribuem com repositórios open source ou parcerias com ICTs (Instituições Científicas e Tecnológicas) credenciadas pela EMBRAPII ou SENAI CIMATEC. O gap de </w:t>
      </w:r>
      <w:r>
        <w:rPr>
          <w:rStyle w:val="Forte"/>
          <w:rFonts w:ascii="Calibri" w:hAnsi="Calibri" w:cs="Calibri"/>
          <w:color w:val="1E293B"/>
          <w:sz w:val="22"/>
          <w:szCs w:val="22"/>
        </w:rPr>
        <w:t>1.19 pontos</w:t>
      </w:r>
      <w:r>
        <w:rPr>
          <w:rFonts w:ascii="Calibri" w:hAnsi="Calibri" w:cs="Calibri"/>
          <w:color w:val="1E293B"/>
          <w:sz w:val="22"/>
          <w:szCs w:val="22"/>
        </w:rPr>
        <w:t xml:space="preserve"> entre a Empresa Teste Maturidade IA (2.31) e a média setorial nesta dimensão é um dos maiores do assessment, posicionando a empresa na cauda inferior do setor em capacidade de inovação experimental — o que contrasta diretamente com o que se espera de uma empresa que vende soluções tecnológicas baseadas em IA para o mercado.</w:t>
      </w:r>
    </w:p>
    <w:p w14:paraId="6E16E9C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70879DD">
          <v:rect id="_x0000_i1123" alt="" style="width:425.2pt;height:.05pt;mso-width-percent:0;mso-height-percent:0;mso-width-percent:0;mso-height-percent:0" o:hralign="center" o:hrstd="t" o:hr="t" fillcolor="#a0a0a0" stroked="f"/>
        </w:pict>
      </w:r>
    </w:p>
    <w:p w14:paraId="0012EA0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3.6.5 Recomendações Específicas</w:t>
      </w:r>
    </w:p>
    <w:p w14:paraId="70A9090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Formalizar o Empresa Teste Maturidade IA AI Lab com orçamento e backlog proprietário</w:t>
      </w:r>
    </w:p>
    <w:p w14:paraId="1FCD10E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Estruturar um laboratório de IA com identidade própria, separado das squads de produto, com orçamento de inovação dedicado (recomenda-se entre 3–5% do budget de engenharia), missão clara de explorar aplicações de IA em um horizonte de 6–18 meses e critérios de </w:t>
      </w:r>
      <w:r>
        <w:rPr>
          <w:rStyle w:val="nfase"/>
          <w:rFonts w:ascii="Calibri" w:hAnsi="Calibri" w:cs="Calibri"/>
          <w:color w:val="1E293B"/>
          <w:sz w:val="22"/>
          <w:szCs w:val="22"/>
        </w:rPr>
        <w:t>intake</w:t>
      </w:r>
      <w:r>
        <w:rPr>
          <w:rFonts w:ascii="Calibri" w:hAnsi="Calibri" w:cs="Calibri"/>
          <w:color w:val="1E293B"/>
          <w:sz w:val="22"/>
          <w:szCs w:val="22"/>
        </w:rPr>
        <w:t xml:space="preserve"> e </w:t>
      </w:r>
      <w:r>
        <w:rPr>
          <w:rStyle w:val="nfase"/>
          <w:rFonts w:ascii="Calibri" w:hAnsi="Calibri" w:cs="Calibri"/>
          <w:color w:val="1E293B"/>
          <w:sz w:val="22"/>
          <w:szCs w:val="22"/>
        </w:rPr>
        <w:t>graduation</w:t>
      </w:r>
      <w:r>
        <w:rPr>
          <w:rFonts w:ascii="Calibri" w:hAnsi="Calibri" w:cs="Calibri"/>
          <w:color w:val="1E293B"/>
          <w:sz w:val="22"/>
          <w:szCs w:val="22"/>
        </w:rPr>
        <w:t xml:space="preserve"> de experimentos formalizados. O lab deve operar com time enxuto (2–4 engenheiros ML + 1 pesquisador aplicado) e ciclos de sprint de 2 semanas. </w:t>
      </w:r>
      <w:r>
        <w:rPr>
          <w:rStyle w:val="Forte"/>
          <w:rFonts w:ascii="Calibri" w:hAnsi="Calibri" w:cs="Calibri"/>
          <w:color w:val="1E293B"/>
          <w:sz w:val="22"/>
          <w:szCs w:val="22"/>
        </w:rPr>
        <w:t>Playbook Atlas</w:t>
      </w:r>
      <w:r>
        <w:rPr>
          <w:rFonts w:ascii="Calibri" w:hAnsi="Calibri" w:cs="Calibri"/>
          <w:color w:val="1E293B"/>
          <w:sz w:val="22"/>
          <w:szCs w:val="22"/>
        </w:rPr>
        <w:t xml:space="preserve">: utilizar o blueprint </w:t>
      </w:r>
      <w:r>
        <w:rPr>
          <w:rStyle w:val="Forte"/>
          <w:rFonts w:ascii="Calibri" w:hAnsi="Calibri" w:cs="Calibri"/>
          <w:color w:val="1E293B"/>
          <w:sz w:val="22"/>
          <w:szCs w:val="22"/>
        </w:rPr>
        <w:t>AI Innovation Lab Setup</w:t>
      </w:r>
      <w:r>
        <w:rPr>
          <w:rFonts w:ascii="Calibri" w:hAnsi="Calibri" w:cs="Calibri"/>
          <w:color w:val="1E293B"/>
          <w:sz w:val="22"/>
          <w:szCs w:val="22"/>
        </w:rPr>
        <w:t xml:space="preserve"> (módulo de Governance de Experimentação) + </w:t>
      </w:r>
      <w:r>
        <w:rPr>
          <w:rStyle w:val="Forte"/>
          <w:rFonts w:ascii="Calibri" w:hAnsi="Calibri" w:cs="Calibri"/>
          <w:color w:val="1E293B"/>
          <w:sz w:val="22"/>
          <w:szCs w:val="22"/>
        </w:rPr>
        <w:t>MLflow Experiment Tracking Engine</w:t>
      </w:r>
      <w:r>
        <w:rPr>
          <w:rFonts w:ascii="Calibri" w:hAnsi="Calibri" w:cs="Calibri"/>
          <w:color w:val="1E293B"/>
          <w:sz w:val="22"/>
          <w:szCs w:val="22"/>
        </w:rPr>
        <w:t xml:space="preserve"> para rastreabilidade de runs, parâmetros e artefatos; integrar com o </w:t>
      </w:r>
      <w:r>
        <w:rPr>
          <w:rStyle w:val="Forte"/>
          <w:rFonts w:ascii="Calibri" w:hAnsi="Calibri" w:cs="Calibri"/>
          <w:color w:val="1E293B"/>
          <w:sz w:val="22"/>
          <w:szCs w:val="22"/>
        </w:rPr>
        <w:t>Feature Store Engine</w:t>
      </w:r>
      <w:r>
        <w:rPr>
          <w:rFonts w:ascii="Calibri" w:hAnsi="Calibri" w:cs="Calibri"/>
          <w:color w:val="1E293B"/>
          <w:sz w:val="22"/>
          <w:szCs w:val="22"/>
        </w:rPr>
        <w:t xml:space="preserve"> para reutilização de features entre experimentos distintos.</w:t>
      </w:r>
    </w:p>
    <w:p w14:paraId="190DC1CA"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w:t>
      </w:r>
      <w:r>
        <w:rPr>
          <w:rStyle w:val="nfase"/>
          <w:rFonts w:ascii="Calibri" w:hAnsi="Calibri" w:cs="Calibri"/>
          <w:color w:val="1E293B"/>
          <w:sz w:val="22"/>
          <w:szCs w:val="22"/>
        </w:rPr>
        <w:t xml:space="preserve">Ação 2 — Implementar um processo estruturado de </w:t>
      </w:r>
      <w:r>
        <w:rPr>
          <w:rFonts w:ascii="Calibri" w:hAnsi="Calibri" w:cs="Calibri"/>
          <w:color w:val="1E293B"/>
          <w:sz w:val="22"/>
          <w:szCs w:val="22"/>
        </w:rPr>
        <w:t>Rapid AI Prototyping</w:t>
      </w:r>
      <w:r>
        <w:rPr>
          <w:rStyle w:val="nfase"/>
          <w:rFonts w:ascii="Calibri" w:hAnsi="Calibri" w:cs="Calibri"/>
          <w:color w:val="1E293B"/>
          <w:sz w:val="22"/>
          <w:szCs w:val="22"/>
        </w:rPr>
        <w:t xml:space="preserve"> com critérios de escalonamento</w:t>
      </w:r>
      <w:r>
        <w:rPr>
          <w:rFonts w:ascii="Calibri" w:hAnsi="Calibri" w:cs="Calibri"/>
          <w:color w:val="1E293B"/>
          <w:sz w:val="22"/>
          <w:szCs w:val="22"/>
        </w:rPr>
        <w:t>*</w:t>
      </w:r>
    </w:p>
    <w:p w14:paraId="3FD0166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Adotar uma metodologia formal de validação rápida de ideias — como </w:t>
      </w:r>
      <w:r>
        <w:rPr>
          <w:rStyle w:val="nfase"/>
          <w:rFonts w:ascii="Calibri" w:hAnsi="Calibri" w:cs="Calibri"/>
          <w:color w:val="1E293B"/>
          <w:sz w:val="22"/>
          <w:szCs w:val="22"/>
        </w:rPr>
        <w:t>ML Canvas</w:t>
      </w:r>
      <w:r>
        <w:rPr>
          <w:rFonts w:ascii="Calibri" w:hAnsi="Calibri" w:cs="Calibri"/>
          <w:color w:val="1E293B"/>
          <w:sz w:val="22"/>
          <w:szCs w:val="22"/>
        </w:rPr>
        <w:t xml:space="preserve"> combinado com critérios de </w:t>
      </w:r>
      <w:r>
        <w:rPr>
          <w:rStyle w:val="nfase"/>
          <w:rFonts w:ascii="Calibri" w:hAnsi="Calibri" w:cs="Calibri"/>
          <w:color w:val="1E293B"/>
          <w:sz w:val="22"/>
          <w:szCs w:val="22"/>
        </w:rPr>
        <w:t>Definition of Done</w:t>
      </w:r>
      <w:r>
        <w:rPr>
          <w:rFonts w:ascii="Calibri" w:hAnsi="Calibri" w:cs="Calibri"/>
          <w:color w:val="1E293B"/>
          <w:sz w:val="22"/>
          <w:szCs w:val="22"/>
        </w:rPr>
        <w:t xml:space="preserve"> experimental (ex.: AUC mínimo, latência máxima p99, cobertura de dados ≥ 70%, caso de negócio com ROI estimado documentado). Criar um </w:t>
      </w:r>
      <w:r>
        <w:rPr>
          <w:rStyle w:val="nfase"/>
          <w:rFonts w:ascii="Calibri" w:hAnsi="Calibri" w:cs="Calibri"/>
          <w:color w:val="1E293B"/>
          <w:sz w:val="22"/>
          <w:szCs w:val="22"/>
        </w:rPr>
        <w:t>graduation gate</w:t>
      </w:r>
      <w:r>
        <w:rPr>
          <w:rFonts w:ascii="Calibri" w:hAnsi="Calibri" w:cs="Calibri"/>
          <w:color w:val="1E293B"/>
          <w:sz w:val="22"/>
          <w:szCs w:val="22"/>
        </w:rPr>
        <w:t xml:space="preserve"> trimestral onde experimentos do lab são avaliados para promoção ao roadmap de produto, arquivamento documentado ou pivô. </w:t>
      </w:r>
      <w:r>
        <w:rPr>
          <w:rStyle w:val="Forte"/>
          <w:rFonts w:ascii="Calibri" w:hAnsi="Calibri" w:cs="Calibri"/>
          <w:color w:val="1E293B"/>
          <w:sz w:val="22"/>
          <w:szCs w:val="22"/>
        </w:rPr>
        <w:t>Playbook Atlas</w:t>
      </w:r>
      <w:r>
        <w:rPr>
          <w:rFonts w:ascii="Calibri" w:hAnsi="Calibri" w:cs="Calibri"/>
          <w:color w:val="1E293B"/>
          <w:sz w:val="22"/>
          <w:szCs w:val="22"/>
        </w:rPr>
        <w:t xml:space="preserve">: referenciar o </w:t>
      </w:r>
      <w:r>
        <w:rPr>
          <w:rStyle w:val="Forte"/>
          <w:rFonts w:ascii="Calibri" w:hAnsi="Calibri" w:cs="Calibri"/>
          <w:color w:val="1E293B"/>
          <w:sz w:val="22"/>
          <w:szCs w:val="22"/>
        </w:rPr>
        <w:t>Lean ML Pipeline Blueprint</w:t>
      </w:r>
      <w:r>
        <w:rPr>
          <w:rFonts w:ascii="Calibri" w:hAnsi="Calibri" w:cs="Calibri"/>
          <w:color w:val="1E293B"/>
          <w:sz w:val="22"/>
          <w:szCs w:val="22"/>
        </w:rPr>
        <w:t xml:space="preserve"> + </w:t>
      </w:r>
      <w:r>
        <w:rPr>
          <w:rStyle w:val="Forte"/>
          <w:rFonts w:ascii="Calibri" w:hAnsi="Calibri" w:cs="Calibri"/>
          <w:color w:val="1E293B"/>
          <w:sz w:val="22"/>
          <w:szCs w:val="22"/>
        </w:rPr>
        <w:t>AI Decision Gateway</w:t>
      </w:r>
      <w:r>
        <w:rPr>
          <w:rFonts w:ascii="Calibri" w:hAnsi="Calibri" w:cs="Calibri"/>
          <w:color w:val="1E293B"/>
          <w:sz w:val="22"/>
          <w:szCs w:val="22"/>
        </w:rPr>
        <w:t xml:space="preserve"> (componente de avaliação de prontidão para escala com checklists de MLOps, segurança e negócio).</w:t>
      </w:r>
    </w:p>
    <w:p w14:paraId="2CF789B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Programa de parcerias com ICTs e ecossistema de startups de IA</w:t>
      </w:r>
    </w:p>
    <w:p w14:paraId="2F6A07D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Estabelecer no mínimo 2 parcerias formais com universidades ou centros de pesquisa (ex.: CIn-UFPE, ICMC-USP, ITA, LNCC) e 1 programa de co-inovação com startups via aceleradoras como Cubo Itaú, ACE ou Porto Digital, com foco em temas como </w:t>
      </w:r>
      <w:r>
        <w:rPr>
          <w:rStyle w:val="nfase"/>
          <w:rFonts w:ascii="Calibri" w:hAnsi="Calibri" w:cs="Calibri"/>
          <w:color w:val="1E293B"/>
          <w:sz w:val="22"/>
          <w:szCs w:val="22"/>
        </w:rPr>
        <w:t>agentic AI</w:t>
      </w:r>
      <w:r>
        <w:rPr>
          <w:rFonts w:ascii="Calibri" w:hAnsi="Calibri" w:cs="Calibri"/>
          <w:color w:val="1E293B"/>
          <w:sz w:val="22"/>
          <w:szCs w:val="22"/>
        </w:rPr>
        <w:t xml:space="preserve">, LLMs aplicados a software engineering e computer vision para automação de QA. Explorar instrumentos de financiamento como FAPESP PIPE, Lei do Bem (Lei 11.196/2005) e contratos EMBRAPII para co-financiamento de P&amp;D. </w:t>
      </w:r>
      <w:r>
        <w:rPr>
          <w:rStyle w:val="Forte"/>
          <w:rFonts w:ascii="Calibri" w:hAnsi="Calibri" w:cs="Calibri"/>
          <w:color w:val="1E293B"/>
          <w:sz w:val="22"/>
          <w:szCs w:val="22"/>
        </w:rPr>
        <w:t>Playbook Atlas</w:t>
      </w:r>
      <w:r>
        <w:rPr>
          <w:rFonts w:ascii="Calibri" w:hAnsi="Calibri" w:cs="Calibri"/>
          <w:color w:val="1E293B"/>
          <w:sz w:val="22"/>
          <w:szCs w:val="22"/>
        </w:rPr>
        <w:t xml:space="preserve">: utilizar o template </w:t>
      </w:r>
      <w:r>
        <w:rPr>
          <w:rStyle w:val="Forte"/>
          <w:rFonts w:ascii="Calibri" w:hAnsi="Calibri" w:cs="Calibri"/>
          <w:color w:val="1E293B"/>
          <w:sz w:val="22"/>
          <w:szCs w:val="22"/>
        </w:rPr>
        <w:t>External Innovation Partnership Framework</w:t>
      </w:r>
      <w:r>
        <w:rPr>
          <w:rFonts w:ascii="Calibri" w:hAnsi="Calibri" w:cs="Calibri"/>
          <w:color w:val="1E293B"/>
          <w:sz w:val="22"/>
          <w:szCs w:val="22"/>
        </w:rPr>
        <w:t xml:space="preserve"> para estruturar NDA, IP, milestones e KPIs de parcerias.</w:t>
      </w:r>
    </w:p>
    <w:p w14:paraId="11BBBA5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w:t>
      </w:r>
      <w:r>
        <w:rPr>
          <w:rStyle w:val="nfase"/>
          <w:rFonts w:ascii="Calibri" w:hAnsi="Calibri" w:cs="Calibri"/>
          <w:color w:val="1E293B"/>
          <w:sz w:val="22"/>
          <w:szCs w:val="22"/>
        </w:rPr>
        <w:t xml:space="preserve">Ação 4 — Estratégia de contribuição comunitária e </w:t>
      </w:r>
      <w:r>
        <w:rPr>
          <w:rFonts w:ascii="Calibri" w:hAnsi="Calibri" w:cs="Calibri"/>
          <w:color w:val="1E293B"/>
          <w:sz w:val="22"/>
          <w:szCs w:val="22"/>
        </w:rPr>
        <w:t>thought leadership</w:t>
      </w:r>
      <w:r>
        <w:rPr>
          <w:rStyle w:val="nfase"/>
          <w:rFonts w:ascii="Calibri" w:hAnsi="Calibri" w:cs="Calibri"/>
          <w:color w:val="1E293B"/>
          <w:sz w:val="22"/>
          <w:szCs w:val="22"/>
        </w:rPr>
        <w:t xml:space="preserve"> técnico</w:t>
      </w:r>
      <w:r>
        <w:rPr>
          <w:rFonts w:ascii="Calibri" w:hAnsi="Calibri" w:cs="Calibri"/>
          <w:color w:val="1E293B"/>
          <w:sz w:val="22"/>
          <w:szCs w:val="22"/>
        </w:rPr>
        <w:t>*</w:t>
      </w:r>
    </w:p>
    <w:p w14:paraId="69E78EE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Criar um programa interno de </w:t>
      </w:r>
      <w:r>
        <w:rPr>
          <w:rStyle w:val="nfase"/>
          <w:rFonts w:ascii="Calibri" w:hAnsi="Calibri" w:cs="Calibri"/>
          <w:color w:val="1E293B"/>
          <w:sz w:val="22"/>
          <w:szCs w:val="22"/>
        </w:rPr>
        <w:t>open source contribution</w:t>
      </w:r>
      <w:r>
        <w:rPr>
          <w:rFonts w:ascii="Calibri" w:hAnsi="Calibri" w:cs="Calibri"/>
          <w:color w:val="1E293B"/>
          <w:sz w:val="22"/>
          <w:szCs w:val="22"/>
        </w:rPr>
        <w:t xml:space="preserve"> e publicação técnica: definir 2–3 repositórios GitHub com ferramentas ou datasets derivados de projetos internos (com curadoria de IP), incentivar submissões a trilhas técnicas de eventos como TDC Innovation, SBBD, BrAIn ou NeurIPS LatAm, e estruturar um blog técnico de IA com cadência mensal. Associar metas de contribuição comunitária ao plano de carreira de engenheiros ML (ex.: pontuação em </w:t>
      </w:r>
      <w:r>
        <w:rPr>
          <w:rStyle w:val="nfase"/>
          <w:rFonts w:ascii="Calibri" w:hAnsi="Calibri" w:cs="Calibri"/>
          <w:color w:val="1E293B"/>
          <w:sz w:val="22"/>
          <w:szCs w:val="22"/>
        </w:rPr>
        <w:t>leveling</w:t>
      </w:r>
      <w:r>
        <w:rPr>
          <w:rFonts w:ascii="Calibri" w:hAnsi="Calibri" w:cs="Calibri"/>
          <w:color w:val="1E293B"/>
          <w:sz w:val="22"/>
          <w:szCs w:val="22"/>
        </w:rPr>
        <w:t xml:space="preserve"> por publicações, PRs aprovados em projetos OSS relevantes). </w:t>
      </w:r>
      <w:r>
        <w:rPr>
          <w:rStyle w:val="Forte"/>
          <w:rFonts w:ascii="Calibri" w:hAnsi="Calibri" w:cs="Calibri"/>
          <w:color w:val="1E293B"/>
          <w:sz w:val="22"/>
          <w:szCs w:val="22"/>
        </w:rPr>
        <w:t>Playbook Atlas</w:t>
      </w:r>
      <w:r>
        <w:rPr>
          <w:rFonts w:ascii="Calibri" w:hAnsi="Calibri" w:cs="Calibri"/>
          <w:color w:val="1E293B"/>
          <w:sz w:val="22"/>
          <w:szCs w:val="22"/>
        </w:rPr>
        <w:t xml:space="preserve">: referenciar o </w:t>
      </w:r>
      <w:r>
        <w:rPr>
          <w:rStyle w:val="Forte"/>
          <w:rFonts w:ascii="Calibri" w:hAnsi="Calibri" w:cs="Calibri"/>
          <w:color w:val="1E293B"/>
          <w:sz w:val="22"/>
          <w:szCs w:val="22"/>
        </w:rPr>
        <w:t>Developer Advocacy &amp; Community Blueprint</w:t>
      </w:r>
      <w:r>
        <w:rPr>
          <w:rFonts w:ascii="Calibri" w:hAnsi="Calibri" w:cs="Calibri"/>
          <w:color w:val="1E293B"/>
          <w:sz w:val="22"/>
          <w:szCs w:val="22"/>
        </w:rPr>
        <w:t xml:space="preserve"> para estruturar o programa de embaixadores técnicos internos.</w:t>
      </w:r>
    </w:p>
    <w:p w14:paraId="7361960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6877A4D">
          <v:rect id="_x0000_i1122" alt="" style="width:425.2pt;height:.05pt;mso-width-percent:0;mso-height-percent:0;mso-width-percent:0;mso-height-percent:0" o:hralign="center" o:hrstd="t" o:hr="t" fillcolor="#a0a0a0" stroked="f"/>
        </w:pict>
      </w:r>
    </w:p>
    <w:p w14:paraId="01C52BD1"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3.6.6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845"/>
        <w:gridCol w:w="1944"/>
        <w:gridCol w:w="1838"/>
        <w:gridCol w:w="1861"/>
      </w:tblGrid>
      <w:tr w:rsidR="00000000" w14:paraId="45634D32" w14:textId="77777777">
        <w:trPr>
          <w:divId w:val="1054695527"/>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42E96E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A606C6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02A4F6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235CF6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4D9AA67" w14:textId="77777777">
        <w:trPr>
          <w:divId w:val="105469552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D95491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Número de experimentos de IA finalizados por trimestre</w:t>
            </w:r>
            <w:r>
              <w:rPr>
                <w:rFonts w:ascii="Calibri" w:eastAsia="Times New Roman" w:hAnsi="Calibri" w:cs="Calibri"/>
                <w:color w:val="1E293B"/>
                <w:sz w:val="21"/>
                <w:szCs w:val="21"/>
              </w:rPr>
              <w:t xml:space="preserve"> (com resultado documentado no MLflow)</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20B2B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 experimentos ad hoc / trimestre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760B4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 experimentos / trimestre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9A632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 experimentos / trimestre</w:t>
            </w:r>
          </w:p>
        </w:tc>
      </w:tr>
      <w:tr w:rsidR="00000000" w14:paraId="022E39AA" w14:textId="77777777">
        <w:trPr>
          <w:divId w:val="105469552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D6AFAD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escalonamento de experimentos para produção</w:t>
            </w:r>
            <w:r>
              <w:rPr>
                <w:rFonts w:ascii="Calibri" w:eastAsia="Times New Roman" w:hAnsi="Calibri" w:cs="Calibri"/>
                <w:color w:val="1E293B"/>
                <w:sz w:val="21"/>
                <w:szCs w:val="21"/>
              </w:rPr>
              <w:t xml:space="preserve"> (experimentos promovidos / experimentos concluídos)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C2630F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10%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3187B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73047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w:t>
            </w:r>
          </w:p>
        </w:tc>
      </w:tr>
      <w:tr w:rsidR="00000000" w14:paraId="25E0CCA6" w14:textId="77777777">
        <w:trPr>
          <w:divId w:val="105469552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66ECC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Parcerias ativas com ICTs ou startups de IA</w:t>
            </w:r>
            <w:r>
              <w:rPr>
                <w:rFonts w:ascii="Calibri" w:eastAsia="Times New Roman" w:hAnsi="Calibri" w:cs="Calibri"/>
                <w:color w:val="1E293B"/>
                <w:sz w:val="21"/>
                <w:szCs w:val="21"/>
              </w:rPr>
              <w:t xml:space="preserve"> (contratos ou MoUs formalizados)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197373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parcerias formais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12EE3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parcerias (1 universidade + 1 startup)</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DD2B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 parcerias ativas com milestone tracking</w:t>
            </w:r>
          </w:p>
        </w:tc>
      </w:tr>
      <w:tr w:rsidR="00000000" w14:paraId="5692BD7B" w14:textId="77777777">
        <w:trPr>
          <w:divId w:val="105469552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C17BAC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Contribuições públicas para comunidade de IA</w:t>
            </w:r>
            <w:r>
              <w:rPr>
                <w:rFonts w:ascii="Calibri" w:eastAsia="Times New Roman" w:hAnsi="Calibri" w:cs="Calibri"/>
                <w:color w:val="1E293B"/>
                <w:sz w:val="21"/>
                <w:szCs w:val="21"/>
              </w:rPr>
              <w:t xml:space="preserve"> (PRs em OSS relevante, posts técnicos, palestras em eventos de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5647A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0–1 contribuições / semestre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AB7D1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 contribuições / semestre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8FD40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 contribuições / semestre</w:t>
            </w:r>
          </w:p>
        </w:tc>
      </w:tr>
      <w:tr w:rsidR="00000000" w14:paraId="2C792350" w14:textId="77777777">
        <w:trPr>
          <w:divId w:val="105469552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7C030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Time-to-Experiment</w:t>
            </w:r>
            <w:r>
              <w:rPr>
                <w:rFonts w:ascii="Calibri" w:eastAsia="Times New Roman" w:hAnsi="Calibri" w:cs="Calibri"/>
                <w:color w:val="1E293B"/>
                <w:sz w:val="21"/>
                <w:szCs w:val="21"/>
              </w:rPr>
              <w:t xml:space="preserve"> (dias entre aprovação de ideia e primeiro run rastreável no lab)</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E8E151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&gt; 30 dias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CBE7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14 dias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7CF2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7 dias</w:t>
            </w:r>
          </w:p>
        </w:tc>
      </w:tr>
    </w:tbl>
    <w:p w14:paraId="3E4C880F"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3.7 Dimensão — Valor de Negócio e ROI — Score 2.53 · Nível 3</w:t>
      </w:r>
    </w:p>
    <w:p w14:paraId="190C72A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3.7.1 Análise Diagnóstica</w:t>
      </w:r>
    </w:p>
    <w:p w14:paraId="0D983EC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consolidado desta dimensão — aproximadamente </w:t>
      </w:r>
      <w:r>
        <w:rPr>
          <w:rStyle w:val="Forte"/>
          <w:rFonts w:ascii="Calibri" w:hAnsi="Calibri" w:cs="Calibri"/>
          <w:color w:val="1E293B"/>
          <w:sz w:val="22"/>
          <w:szCs w:val="22"/>
        </w:rPr>
        <w:t>2,35</w:t>
      </w:r>
      <w:r>
        <w:rPr>
          <w:rFonts w:ascii="Calibri" w:hAnsi="Calibri" w:cs="Calibri"/>
          <w:color w:val="1E293B"/>
          <w:sz w:val="22"/>
          <w:szCs w:val="22"/>
        </w:rPr>
        <w:t xml:space="preserve"> (média ponderada das oito questões) — revela uma organização que ainda não institucionalizou a lógica de valor como linguagem nativa dos programas de IA. O padrão de respostas é revelador: as questões que tocam </w:t>
      </w:r>
      <w:r>
        <w:rPr>
          <w:rStyle w:val="Forte"/>
          <w:rFonts w:ascii="Calibri" w:hAnsi="Calibri" w:cs="Calibri"/>
          <w:color w:val="1E293B"/>
          <w:sz w:val="22"/>
          <w:szCs w:val="22"/>
        </w:rPr>
        <w:t>expectativas futuras</w:t>
      </w:r>
      <w:r>
        <w:rPr>
          <w:rFonts w:ascii="Calibri" w:hAnsi="Calibri" w:cs="Calibri"/>
          <w:color w:val="1E293B"/>
          <w:sz w:val="22"/>
          <w:szCs w:val="22"/>
        </w:rPr>
        <w:t xml:space="preserve"> [Q7: 3,13 e Q8: 3,88] são sistematicamente as mais altas, enquanto as que exigem </w:t>
      </w:r>
      <w:r>
        <w:rPr>
          <w:rStyle w:val="Forte"/>
          <w:rFonts w:ascii="Calibri" w:hAnsi="Calibri" w:cs="Calibri"/>
          <w:color w:val="1E293B"/>
          <w:sz w:val="22"/>
          <w:szCs w:val="22"/>
        </w:rPr>
        <w:t>rigor metodológico presente</w:t>
      </w:r>
      <w:r>
        <w:rPr>
          <w:rFonts w:ascii="Calibri" w:hAnsi="Calibri" w:cs="Calibri"/>
          <w:color w:val="1E293B"/>
          <w:sz w:val="22"/>
          <w:szCs w:val="22"/>
        </w:rPr>
        <w:t xml:space="preserve"> — modelo de medição de ROI [Q1: 2,0], retorno médio efetivo realizado [Q2: 1,5] e comunicação de valor a stakeholders [Q6: 2,0] — ficam no fundo da tabela. Traduzido em linguagem estratégica: a Empresa Teste Maturidade IA tem otimismo sobre o que a IA vai entregar, mas carece dos instrumentos analíticos para provar o que já entregou. Esse gap entre expectativa e evidência é um dos padrões mais recorrentes no estágio </w:t>
      </w:r>
      <w:r>
        <w:rPr>
          <w:rStyle w:val="Forte"/>
          <w:rFonts w:ascii="Calibri" w:hAnsi="Calibri" w:cs="Calibri"/>
          <w:color w:val="1E293B"/>
          <w:sz w:val="22"/>
          <w:szCs w:val="22"/>
        </w:rPr>
        <w:t>Build Pilots and Capabilities (Nível 2)</w:t>
      </w:r>
      <w:r>
        <w:rPr>
          <w:rFonts w:ascii="Calibri" w:hAnsi="Calibri" w:cs="Calibri"/>
          <w:color w:val="1E293B"/>
          <w:sz w:val="22"/>
          <w:szCs w:val="22"/>
        </w:rPr>
        <w:t xml:space="preserve"> do MIT CISR Enterprise AI Maturity Model, em que iniciativas começam a proliferar, porém sem um "contador" corporativo de valor que as unifique.</w:t>
      </w:r>
    </w:p>
    <w:p w14:paraId="24AD094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dimensão de </w:t>
      </w:r>
      <w:r>
        <w:rPr>
          <w:rStyle w:val="Forte"/>
          <w:rFonts w:ascii="Calibri" w:hAnsi="Calibri" w:cs="Calibri"/>
          <w:color w:val="1E293B"/>
          <w:sz w:val="22"/>
          <w:szCs w:val="22"/>
        </w:rPr>
        <w:t>Valor de Negócio e ROI</w:t>
      </w:r>
      <w:r>
        <w:rPr>
          <w:rFonts w:ascii="Calibri" w:hAnsi="Calibri" w:cs="Calibri"/>
          <w:color w:val="1E293B"/>
          <w:sz w:val="22"/>
          <w:szCs w:val="22"/>
        </w:rPr>
        <w:t xml:space="preserve"> é onde a Empresa Teste Maturidade IA mostra sua maior contradição interna: [Q3: 2,25] indica que existe alguma tentativa de quantificar impacto em receita e custos, mas essa metodologia é fragmentada — aplicada projeto a projeto, sem framework corporativo padronizado. [Q4: 2,67] e [Q5: 2,38] revelam que o alinhamento com prioridades financeiras e a priorização por valor existem em conversas de steering, mas não em critérios formalizados de gate de investimento. No setor de tecnologia, onde squads de engenharia têm autonomia elevada, esse vazio cria um fenômeno bem documentado em empresas como Thoughtworks e Accenture Technology em suas fases de escalonamento de IA: dezenas de experimentos rodando em paralelo, cada um com sua própria métrica de sucesso ad hoc, resultando em portfólios de IA invisíveis para o CFO e para o board. O score de [Q2: 1,5] — o mais baixo de toda a dimensão — confirma que o retorno efetivo realizado não é medido de forma sistemática, o que torna impossível construir o business case para a próxima onda de investimento.</w:t>
      </w:r>
    </w:p>
    <w:p w14:paraId="1D4A7A8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Há, contudo, um sinal positivo digno de atenção estratégica: [Q8: 3,88] indica que as lideranças operacionais enxergam com clareza o potencial de redução de custos com IA, provavelmente ancorado em casos concretos de automação de processos internos — pipelines de CI/CD com IA, code review assistido (ex.: GitHub Copilot para produtividade de engenharia), ou automação de suporte nível 1. Esse nível de percepção é um ativo raro e deve ser capturado formalmente: transformar expectativa em linha de base quantificada é o movimento que diferencia empresas que travam no Nível 2 daquelas que progridem para o </w:t>
      </w:r>
      <w:r>
        <w:rPr>
          <w:rStyle w:val="Forte"/>
          <w:rFonts w:ascii="Calibri" w:hAnsi="Calibri" w:cs="Calibri"/>
          <w:color w:val="1E293B"/>
          <w:sz w:val="22"/>
          <w:szCs w:val="22"/>
        </w:rPr>
        <w:t>Develop AI Ways of Working (Nível 3)</w:t>
      </w:r>
      <w:r>
        <w:rPr>
          <w:rFonts w:ascii="Calibri" w:hAnsi="Calibri" w:cs="Calibri"/>
          <w:color w:val="1E293B"/>
          <w:sz w:val="22"/>
          <w:szCs w:val="22"/>
        </w:rPr>
        <w:t xml:space="preserve"> em 18–24 meses. O desafio imediato não é convencer a organização de que a IA vale — ela já acredita nisso — é construir o aparato de medição que transforme essa crença em dado auditável.</w:t>
      </w:r>
    </w:p>
    <w:p w14:paraId="4D4A9528"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0157289">
          <v:rect id="_x0000_i1121" alt="" style="width:425.2pt;height:.05pt;mso-width-percent:0;mso-height-percent:0;mso-width-percent:0;mso-height-percent:0" o:hralign="center" o:hrstd="t" o:hr="t" fillcolor="#a0a0a0" stroked="f"/>
        </w:pict>
      </w:r>
    </w:p>
    <w:p w14:paraId="414907C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3.7.2 Evidências Críticas</w:t>
      </w:r>
    </w:p>
    <w:p w14:paraId="29BB6A5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deprimiram o score:</w:t>
      </w:r>
    </w:p>
    <w:p w14:paraId="15EBE679" w14:textId="77777777" w:rsidR="00000000" w:rsidRDefault="00000000">
      <w:pPr>
        <w:numPr>
          <w:ilvl w:val="0"/>
          <w:numId w:val="2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Retorno médio realizado: 1,5</w:t>
      </w:r>
      <w:r>
        <w:rPr>
          <w:rFonts w:ascii="Calibri" w:eastAsia="Times New Roman" w:hAnsi="Calibri" w:cs="Calibri"/>
          <w:color w:val="1E293B"/>
          <w:sz w:val="22"/>
          <w:szCs w:val="22"/>
        </w:rPr>
        <w:t xml:space="preserve"> — Score mais crítico da dimensão. Ausência de tracking sistemático de ROI pós-implantação; os projetos são lançados, mas o ciclo de mensuração de resultado efetivo não fecha. Em empresas de tecnologia, isso frequentemente ocorre porque o "dono" do projeto é engenharia, não finanças, e o KPI é técnico (latência, acurácia do modelo), não financeiro (receita incremental, horas economizadas convertidas em R$).</w:t>
      </w:r>
    </w:p>
    <w:p w14:paraId="15F57964" w14:textId="77777777" w:rsidR="00000000" w:rsidRDefault="00000000">
      <w:pPr>
        <w:numPr>
          <w:ilvl w:val="0"/>
          <w:numId w:val="2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Modelo de medição de ROI: 2,0</w:t>
      </w:r>
      <w:r>
        <w:rPr>
          <w:rFonts w:ascii="Calibri" w:eastAsia="Times New Roman" w:hAnsi="Calibri" w:cs="Calibri"/>
          <w:color w:val="1E293B"/>
          <w:sz w:val="22"/>
          <w:szCs w:val="22"/>
        </w:rPr>
        <w:t xml:space="preserve"> — Não há framework corporativo único; times diferentes usam métricas heterogêneas (NPS de feature vs. redução de tickets vs. uplift de conversão), tornando impossível comparar valor entre iniciativas.</w:t>
      </w:r>
    </w:p>
    <w:p w14:paraId="053EA51C" w14:textId="77777777" w:rsidR="00000000" w:rsidRDefault="00000000">
      <w:pPr>
        <w:numPr>
          <w:ilvl w:val="0"/>
          <w:numId w:val="2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Comunicação de valor a stakeholders: 2,0</w:t>
      </w:r>
      <w:r>
        <w:rPr>
          <w:rFonts w:ascii="Calibri" w:eastAsia="Times New Roman" w:hAnsi="Calibri" w:cs="Calibri"/>
          <w:color w:val="1E293B"/>
          <w:sz w:val="22"/>
          <w:szCs w:val="22"/>
        </w:rPr>
        <w:t xml:space="preserve"> — A narrativa de IA para board e investidores ainda é qualitativa e orientada a casos de uso, não a impacto financeiro acumulado. Em um ambiente de tech companies onde a precificação de múltiplos de valuation cada vez mais considera "AI-driven revenue", essa lacuna tem custo de percepção externa.</w:t>
      </w:r>
    </w:p>
    <w:p w14:paraId="4F50C3F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w:t>
      </w:r>
    </w:p>
    <w:p w14:paraId="687BB02D" w14:textId="77777777" w:rsidR="00000000" w:rsidRDefault="00000000">
      <w:pPr>
        <w:numPr>
          <w:ilvl w:val="0"/>
          <w:numId w:val="2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[Q8] Expectativa de redução de custos operacionais: 3,88</w:t>
      </w:r>
      <w:r>
        <w:rPr>
          <w:rFonts w:ascii="Calibri" w:eastAsia="Times New Roman" w:hAnsi="Calibri" w:cs="Calibri"/>
          <w:color w:val="1E293B"/>
          <w:sz w:val="22"/>
          <w:szCs w:val="22"/>
        </w:rPr>
        <w:t xml:space="preserve"> — Lideranças operacionais têm visão clara de onde a IA reduz fricção (automação de testes, geração de código, suporte inteligente). Esse é o ativo de percepção mais maduro da dimensão.</w:t>
      </w:r>
    </w:p>
    <w:p w14:paraId="6C22A46F" w14:textId="77777777" w:rsidR="00000000" w:rsidRDefault="00000000">
      <w:pPr>
        <w:numPr>
          <w:ilvl w:val="0"/>
          <w:numId w:val="2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[Q7] Expectativa de crescimento de receita com IA: 3,13</w:t>
      </w:r>
      <w:r>
        <w:rPr>
          <w:rFonts w:ascii="Calibri" w:eastAsia="Times New Roman" w:hAnsi="Calibri" w:cs="Calibri"/>
          <w:color w:val="1E293B"/>
          <w:sz w:val="22"/>
          <w:szCs w:val="22"/>
        </w:rPr>
        <w:t xml:space="preserve"> — Alinhamento razoável sobre oportunidades de receita futura, sugerindo que o pipeline de produtos com componentes de IA está sendo discutido em nível estratégico.</w:t>
      </w:r>
    </w:p>
    <w:p w14:paraId="080B1A5B" w14:textId="77777777" w:rsidR="00000000" w:rsidRDefault="00000000">
      <w:pPr>
        <w:numPr>
          <w:ilvl w:val="0"/>
          <w:numId w:val="2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Alinhamento com prioridades financeiras: 2,67</w:t>
      </w:r>
      <w:r>
        <w:rPr>
          <w:rFonts w:ascii="Calibri" w:eastAsia="Times New Roman" w:hAnsi="Calibri" w:cs="Calibri"/>
          <w:color w:val="1E293B"/>
          <w:sz w:val="22"/>
          <w:szCs w:val="22"/>
        </w:rPr>
        <w:t xml:space="preserve"> — O maior score dos itens "presentes" (não-expectativa), indicando que ao menos os projetos priorizados têm alguma ancoragem nas metas do plano financeiro anual.</w:t>
      </w:r>
    </w:p>
    <w:p w14:paraId="2CFEDB6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3B1B2B2">
          <v:rect id="_x0000_i1120" alt="" style="width:425.2pt;height:.05pt;mso-width-percent:0;mso-height-percent:0;mso-width-percent:0;mso-height-percent:0" o:hralign="center" o:hrstd="t" o:hr="t" fillcolor="#a0a0a0" stroked="f"/>
        </w:pict>
      </w:r>
    </w:p>
    <w:p w14:paraId="483460D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3.7.3 Risco de Negócio</w:t>
      </w:r>
    </w:p>
    <w:p w14:paraId="1C7461E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ausência de um framework institucionalizado de ROI em IA cria um risco específico e crescente para a Empresa Teste Maturidade IA: </w:t>
      </w:r>
      <w:r>
        <w:rPr>
          <w:rStyle w:val="Forte"/>
          <w:rFonts w:ascii="Calibri" w:hAnsi="Calibri" w:cs="Calibri"/>
          <w:color w:val="1E293B"/>
          <w:sz w:val="22"/>
          <w:szCs w:val="22"/>
        </w:rPr>
        <w:t>o risco de desfinanciamento por incapacidade narrativa</w:t>
      </w:r>
      <w:r>
        <w:rPr>
          <w:rFonts w:ascii="Calibri" w:hAnsi="Calibri" w:cs="Calibri"/>
          <w:color w:val="1E293B"/>
          <w:sz w:val="22"/>
          <w:szCs w:val="22"/>
        </w:rPr>
        <w:t xml:space="preserve">. Em ciclos de budget review — especialmente em grandes empresas de tecnologia que reportam para grupos ou que têm investidores institucionais — o CFO e o board começam a questionar o retorno dos investimentos em IA quando não há um "dashboard de valor" que consolide impacto financeiro realizado. Com [Q2] em 1,5 e [Q1] em 2,0, a empresa não consegue responder à pergunta mais básica de um comitê de investimento: </w:t>
      </w:r>
      <w:r>
        <w:rPr>
          <w:rStyle w:val="nfase"/>
          <w:rFonts w:ascii="Calibri" w:hAnsi="Calibri" w:cs="Calibri"/>
          <w:color w:val="1E293B"/>
          <w:sz w:val="22"/>
          <w:szCs w:val="22"/>
        </w:rPr>
        <w:t>"Quanto de ROI nossos projetos de IA geraram nos últimos 12 meses?"</w:t>
      </w:r>
      <w:r>
        <w:rPr>
          <w:rFonts w:ascii="Calibri" w:hAnsi="Calibri" w:cs="Calibri"/>
          <w:color w:val="1E293B"/>
          <w:sz w:val="22"/>
          <w:szCs w:val="22"/>
        </w:rPr>
        <w:t>. O resultado prático não é a paralisia imediata, mas a erosão gradual do orçamento destinado a IA em favor de iniciativas com métricas mais visíveis — situação documentada pelo MIT CISR como um dos principais gatilhos de regressão entre o Nível 2 e o Nível 1 em empresas de tecnologia que não formalizam sua lógica de valor antes do próximo ciclo de planejamento estratégico.</w:t>
      </w:r>
    </w:p>
    <w:p w14:paraId="37DC216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5B8F451">
          <v:rect id="_x0000_i1119" alt="" style="width:425.2pt;height:.05pt;mso-width-percent:0;mso-height-percent:0;mso-width-percent:0;mso-height-percent:0" o:hralign="center" o:hrstd="t" o:hr="t" fillcolor="#a0a0a0" stroked="f"/>
        </w:pict>
      </w:r>
    </w:p>
    <w:p w14:paraId="12F9268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3.7.4 Benchmark Setorial</w:t>
      </w:r>
    </w:p>
    <w:p w14:paraId="7B48144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segmento de empresas de tecnologia de grande porte, a média setorial de </w:t>
      </w:r>
      <w:r>
        <w:rPr>
          <w:rStyle w:val="Forte"/>
          <w:rFonts w:ascii="Calibri" w:hAnsi="Calibri" w:cs="Calibri"/>
          <w:color w:val="1E293B"/>
          <w:sz w:val="22"/>
          <w:szCs w:val="22"/>
        </w:rPr>
        <w:t>3,5</w:t>
      </w:r>
      <w:r>
        <w:rPr>
          <w:rFonts w:ascii="Calibri" w:hAnsi="Calibri" w:cs="Calibri"/>
          <w:color w:val="1E293B"/>
          <w:sz w:val="22"/>
          <w:szCs w:val="22"/>
        </w:rPr>
        <w:t xml:space="preserve"> nesta dimensão reflete organizações que já operam com um </w:t>
      </w:r>
      <w:r>
        <w:rPr>
          <w:rStyle w:val="Forte"/>
          <w:rFonts w:ascii="Calibri" w:hAnsi="Calibri" w:cs="Calibri"/>
          <w:color w:val="1E293B"/>
          <w:sz w:val="22"/>
          <w:szCs w:val="22"/>
        </w:rPr>
        <w:t>AI Value Office</w:t>
      </w:r>
      <w:r>
        <w:rPr>
          <w:rFonts w:ascii="Calibri" w:hAnsi="Calibri" w:cs="Calibri"/>
          <w:color w:val="1E293B"/>
          <w:sz w:val="22"/>
          <w:szCs w:val="22"/>
        </w:rPr>
        <w:t xml:space="preserve"> (ou função equivalente), aplicam metodologias como </w:t>
      </w:r>
      <w:r>
        <w:rPr>
          <w:rStyle w:val="Forte"/>
          <w:rFonts w:ascii="Calibri" w:hAnsi="Calibri" w:cs="Calibri"/>
          <w:color w:val="1E293B"/>
          <w:sz w:val="22"/>
          <w:szCs w:val="22"/>
        </w:rPr>
        <w:t>OKRs financeiros vinculados a outputs de IA</w:t>
      </w:r>
      <w:r>
        <w:rPr>
          <w:rFonts w:ascii="Calibri" w:hAnsi="Calibri" w:cs="Calibri"/>
          <w:color w:val="1E293B"/>
          <w:sz w:val="22"/>
          <w:szCs w:val="22"/>
        </w:rPr>
        <w:t xml:space="preserve"> e produzem relatórios trimestrais de impacto para o board. Empresas como Totvs, CI&amp;T e Stefanini — referências nacionais em maturidade de IA aplicada a tecnologia de produtos e serviços — posicionam-se neste patamar ao vincular métricas de produtividade de engenharia (DORA Metrics: deployment frequency, lead time for changes) diretamente a reduções de custo operacional e aceleração de time-to-market, criando um vocabulário financeiro para IA que ressoa tanto com CTO quanto com CFO. A Empresa Teste Maturidade IA, com score de </w:t>
      </w:r>
      <w:r>
        <w:rPr>
          <w:rStyle w:val="Forte"/>
          <w:rFonts w:ascii="Calibri" w:hAnsi="Calibri" w:cs="Calibri"/>
          <w:color w:val="1E293B"/>
          <w:sz w:val="22"/>
          <w:szCs w:val="22"/>
        </w:rPr>
        <w:t>~2,35</w:t>
      </w:r>
      <w:r>
        <w:rPr>
          <w:rFonts w:ascii="Calibri" w:hAnsi="Calibri" w:cs="Calibri"/>
          <w:color w:val="1E293B"/>
          <w:sz w:val="22"/>
          <w:szCs w:val="22"/>
        </w:rPr>
        <w:t xml:space="preserve">, está </w:t>
      </w:r>
      <w:r>
        <w:rPr>
          <w:rStyle w:val="Forte"/>
          <w:rFonts w:ascii="Calibri" w:hAnsi="Calibri" w:cs="Calibri"/>
          <w:color w:val="1E293B"/>
          <w:sz w:val="22"/>
          <w:szCs w:val="22"/>
        </w:rPr>
        <w:t>1,15 ponto abaixo da média setorial</w:t>
      </w:r>
      <w:r>
        <w:rPr>
          <w:rFonts w:ascii="Calibri" w:hAnsi="Calibri" w:cs="Calibri"/>
          <w:color w:val="1E293B"/>
          <w:sz w:val="22"/>
          <w:szCs w:val="22"/>
        </w:rPr>
        <w:t xml:space="preserve"> nesta dimensão — o maior gap de toda a análise quando se considera que o score geral da empresa já está 1,19 abaixo do mercado. Isso significa que </w:t>
      </w:r>
      <w:r>
        <w:rPr>
          <w:rStyle w:val="Forte"/>
          <w:rFonts w:ascii="Calibri" w:hAnsi="Calibri" w:cs="Calibri"/>
          <w:color w:val="1E293B"/>
          <w:sz w:val="22"/>
          <w:szCs w:val="22"/>
        </w:rPr>
        <w:t>Valor de Negócio e ROI</w:t>
      </w:r>
      <w:r>
        <w:rPr>
          <w:rFonts w:ascii="Calibri" w:hAnsi="Calibri" w:cs="Calibri"/>
          <w:color w:val="1E293B"/>
          <w:sz w:val="22"/>
          <w:szCs w:val="22"/>
        </w:rPr>
        <w:t xml:space="preserve"> é possivelmente a dimensão que mais arrasta o posicionamento competitivo da empresa, uma vez que é a porta de entrada para justificar os investimentos que avançariam todas as demais dimensões.</w:t>
      </w:r>
    </w:p>
    <w:p w14:paraId="173E148D"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F71045F">
          <v:rect id="_x0000_i1118" alt="" style="width:425.2pt;height:.05pt;mso-width-percent:0;mso-height-percent:0;mso-width-percent:0;mso-height-percent:0" o:hralign="center" o:hrstd="t" o:hr="t" fillcolor="#a0a0a0" stroked="f"/>
        </w:pict>
      </w:r>
    </w:p>
    <w:p w14:paraId="43A72057"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3.7.5 Recomendações Específicas</w:t>
      </w:r>
    </w:p>
    <w:p w14:paraId="7D908F8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Implementar um AI ROI Ledger corporativo com metodologia padronizada</w:t>
      </w:r>
    </w:p>
    <w:p w14:paraId="2DDE494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Criar um "livro-razão" de valor de IA — um repositório centralizado onde cada projeto registra, em formato padronizado, o baseline pré-implantação, os KPIs financeiros monitorados e os resultados realizados em cada ciclo de review. A metodologia deve separar explicitamente três categorias de valor: </w:t>
      </w:r>
      <w:r>
        <w:rPr>
          <w:rStyle w:val="nfase"/>
          <w:rFonts w:ascii="Calibri" w:hAnsi="Calibri" w:cs="Calibri"/>
          <w:color w:val="1E293B"/>
          <w:sz w:val="22"/>
          <w:szCs w:val="22"/>
        </w:rPr>
        <w:t>eficiência operacional</w:t>
      </w:r>
      <w:r>
        <w:rPr>
          <w:rFonts w:ascii="Calibri" w:hAnsi="Calibri" w:cs="Calibri"/>
          <w:color w:val="1E293B"/>
          <w:sz w:val="22"/>
          <w:szCs w:val="22"/>
        </w:rPr>
        <w:t xml:space="preserve"> (ex.: horas de engenharia economizadas com code generation via Copilot/Cursor), </w:t>
      </w:r>
      <w:r>
        <w:rPr>
          <w:rStyle w:val="nfase"/>
          <w:rFonts w:ascii="Calibri" w:hAnsi="Calibri" w:cs="Calibri"/>
          <w:color w:val="1E293B"/>
          <w:sz w:val="22"/>
          <w:szCs w:val="22"/>
        </w:rPr>
        <w:t>aceleração de receita</w:t>
      </w:r>
      <w:r>
        <w:rPr>
          <w:rFonts w:ascii="Calibri" w:hAnsi="Calibri" w:cs="Calibri"/>
          <w:color w:val="1E293B"/>
          <w:sz w:val="22"/>
          <w:szCs w:val="22"/>
        </w:rPr>
        <w:t xml:space="preserve"> (ex.: redução de time-to-market de features com IA) e </w:t>
      </w:r>
      <w:r>
        <w:rPr>
          <w:rStyle w:val="nfase"/>
          <w:rFonts w:ascii="Calibri" w:hAnsi="Calibri" w:cs="Calibri"/>
          <w:color w:val="1E293B"/>
          <w:sz w:val="22"/>
          <w:szCs w:val="22"/>
        </w:rPr>
        <w:t>redução de risco</w:t>
      </w:r>
      <w:r>
        <w:rPr>
          <w:rFonts w:ascii="Calibri" w:hAnsi="Calibri" w:cs="Calibri"/>
          <w:color w:val="1E293B"/>
          <w:sz w:val="22"/>
          <w:szCs w:val="22"/>
        </w:rPr>
        <w:t xml:space="preserve"> (ex.: diminuição de incidentes em produção com AIOps/observability). No </w:t>
      </w:r>
      <w:r>
        <w:rPr>
          <w:rStyle w:val="Forte"/>
          <w:rFonts w:ascii="Calibri" w:hAnsi="Calibri" w:cs="Calibri"/>
          <w:color w:val="1E293B"/>
          <w:sz w:val="22"/>
          <w:szCs w:val="22"/>
        </w:rPr>
        <w:t>Playbook Atlas</w:t>
      </w:r>
      <w:r>
        <w:rPr>
          <w:rFonts w:ascii="Calibri" w:hAnsi="Calibri" w:cs="Calibri"/>
          <w:color w:val="1E293B"/>
          <w:sz w:val="22"/>
          <w:szCs w:val="22"/>
        </w:rPr>
        <w:t xml:space="preserve">, o acelerador </w:t>
      </w:r>
      <w:r>
        <w:rPr>
          <w:rStyle w:val="Forte"/>
          <w:rFonts w:ascii="Calibri" w:hAnsi="Calibri" w:cs="Calibri"/>
          <w:color w:val="1E293B"/>
          <w:sz w:val="22"/>
          <w:szCs w:val="22"/>
        </w:rPr>
        <w:t>"AI Value Tracking Engine"</w:t>
      </w:r>
      <w:r>
        <w:rPr>
          <w:rFonts w:ascii="Calibri" w:hAnsi="Calibri" w:cs="Calibri"/>
          <w:color w:val="1E293B"/>
          <w:sz w:val="22"/>
          <w:szCs w:val="22"/>
        </w:rPr>
        <w:t xml:space="preserve"> oferece templates de ledger, conectores para BI corporativo e modelos de TCO por iniciativa de IA. A padronização deve ser co-construída com a área de FP&amp;A para que a linguagem seja financeiramente auditável.</w:t>
      </w:r>
    </w:p>
    <w:p w14:paraId="43AD83D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Estabelecer gates de valor no ciclo de vida de projetos de IA (MLOps + FinOps integrados)</w:t>
      </w:r>
    </w:p>
    <w:p w14:paraId="72A82D5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Incorporar checkpoints de ROI nos estágios de aprovação de projetos de IA: </w:t>
      </w:r>
      <w:r>
        <w:rPr>
          <w:rStyle w:val="nfase"/>
          <w:rFonts w:ascii="Calibri" w:hAnsi="Calibri" w:cs="Calibri"/>
          <w:color w:val="1E293B"/>
          <w:sz w:val="22"/>
          <w:szCs w:val="22"/>
        </w:rPr>
        <w:t>Gate 0</w:t>
      </w:r>
      <w:r>
        <w:rPr>
          <w:rFonts w:ascii="Calibri" w:hAnsi="Calibri" w:cs="Calibri"/>
          <w:color w:val="1E293B"/>
          <w:sz w:val="22"/>
          <w:szCs w:val="22"/>
        </w:rPr>
        <w:t xml:space="preserve"> (business case com ROI projetado e payback esperado), </w:t>
      </w:r>
      <w:r>
        <w:rPr>
          <w:rStyle w:val="nfase"/>
          <w:rFonts w:ascii="Calibri" w:hAnsi="Calibri" w:cs="Calibri"/>
          <w:color w:val="1E293B"/>
          <w:sz w:val="22"/>
          <w:szCs w:val="22"/>
        </w:rPr>
        <w:t>Gate 2</w:t>
      </w:r>
      <w:r>
        <w:rPr>
          <w:rFonts w:ascii="Calibri" w:hAnsi="Calibri" w:cs="Calibri"/>
          <w:color w:val="1E293B"/>
          <w:sz w:val="22"/>
          <w:szCs w:val="22"/>
        </w:rPr>
        <w:t xml:space="preserve"> (validação de hipótese com dados reais após piloto) e </w:t>
      </w:r>
      <w:r>
        <w:rPr>
          <w:rStyle w:val="nfase"/>
          <w:rFonts w:ascii="Calibri" w:hAnsi="Calibri" w:cs="Calibri"/>
          <w:color w:val="1E293B"/>
          <w:sz w:val="22"/>
          <w:szCs w:val="22"/>
        </w:rPr>
        <w:t>Gate 4</w:t>
      </w:r>
      <w:r>
        <w:rPr>
          <w:rFonts w:ascii="Calibri" w:hAnsi="Calibri" w:cs="Calibri"/>
          <w:color w:val="1E293B"/>
          <w:sz w:val="22"/>
          <w:szCs w:val="22"/>
        </w:rPr>
        <w:t xml:space="preserve"> (revisão de impacto realizado em produção a 90 dias). Esse modelo, alinhado ao framework </w:t>
      </w:r>
      <w:r>
        <w:rPr>
          <w:rStyle w:val="Forte"/>
          <w:rFonts w:ascii="Calibri" w:hAnsi="Calibri" w:cs="Calibri"/>
          <w:color w:val="1E293B"/>
          <w:sz w:val="22"/>
          <w:szCs w:val="22"/>
        </w:rPr>
        <w:t>NIST AI RMF</w:t>
      </w:r>
      <w:r>
        <w:rPr>
          <w:rFonts w:ascii="Calibri" w:hAnsi="Calibri" w:cs="Calibri"/>
          <w:color w:val="1E293B"/>
          <w:sz w:val="22"/>
          <w:szCs w:val="22"/>
        </w:rPr>
        <w:t xml:space="preserve"> nos pontos de "Govern" e "Manage", previne o fenômeno de projetos de IA que entram em produção sem dono financeiro. No contexto de empresas de tecnologia, integrar esses gates ao </w:t>
      </w:r>
      <w:r>
        <w:rPr>
          <w:rStyle w:val="Forte"/>
          <w:rFonts w:ascii="Calibri" w:hAnsi="Calibri" w:cs="Calibri"/>
          <w:color w:val="1E293B"/>
          <w:sz w:val="22"/>
          <w:szCs w:val="22"/>
        </w:rPr>
        <w:t>ciclo de sprint/PI Planning (SAFe ou equivalente)</w:t>
      </w:r>
      <w:r>
        <w:rPr>
          <w:rFonts w:ascii="Calibri" w:hAnsi="Calibri" w:cs="Calibri"/>
          <w:color w:val="1E293B"/>
          <w:sz w:val="22"/>
          <w:szCs w:val="22"/>
        </w:rPr>
        <w:t xml:space="preserve"> é fundamental para que a cadência de entrega de produto não atropele a cadência de avaliação de valor. O </w:t>
      </w:r>
      <w:r>
        <w:rPr>
          <w:rStyle w:val="Forte"/>
          <w:rFonts w:ascii="Calibri" w:hAnsi="Calibri" w:cs="Calibri"/>
          <w:color w:val="1E293B"/>
          <w:sz w:val="22"/>
          <w:szCs w:val="22"/>
        </w:rPr>
        <w:t>Playbook Atlas</w:t>
      </w:r>
      <w:r>
        <w:rPr>
          <w:rFonts w:ascii="Calibri" w:hAnsi="Calibri" w:cs="Calibri"/>
          <w:color w:val="1E293B"/>
          <w:sz w:val="22"/>
          <w:szCs w:val="22"/>
        </w:rPr>
        <w:t xml:space="preserve"> contém o blueprint </w:t>
      </w:r>
      <w:r>
        <w:rPr>
          <w:rStyle w:val="Forte"/>
          <w:rFonts w:ascii="Calibri" w:hAnsi="Calibri" w:cs="Calibri"/>
          <w:color w:val="1E293B"/>
          <w:sz w:val="22"/>
          <w:szCs w:val="22"/>
        </w:rPr>
        <w:t>"MLOps + FinOps Gate Framework"</w:t>
      </w:r>
      <w:r>
        <w:rPr>
          <w:rFonts w:ascii="Calibri" w:hAnsi="Calibri" w:cs="Calibri"/>
          <w:color w:val="1E293B"/>
          <w:sz w:val="22"/>
          <w:szCs w:val="22"/>
        </w:rPr>
        <w:t xml:space="preserve"> com modelos de scoring de valor por tipo de iniciativa (produto, operacional, plataforma).</w:t>
      </w:r>
    </w:p>
    <w:p w14:paraId="38E0591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Criar um AI Value Dashboard para comunicação executiva trimestral</w:t>
      </w:r>
    </w:p>
    <w:p w14:paraId="11C5C1C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Desenvolver um dashboard executivo consolidado — destinado ao board, CEO e investidores — que traduza os outputs técnicos de IA em linguagem de negócio: </w:t>
      </w:r>
      <w:r>
        <w:rPr>
          <w:rStyle w:val="nfase"/>
          <w:rFonts w:ascii="Calibri" w:hAnsi="Calibri" w:cs="Calibri"/>
          <w:color w:val="1E293B"/>
          <w:sz w:val="22"/>
          <w:szCs w:val="22"/>
        </w:rPr>
        <w:t>receita atribuível a features com IA</w:t>
      </w:r>
      <w:r>
        <w:rPr>
          <w:rFonts w:ascii="Calibri" w:hAnsi="Calibri" w:cs="Calibri"/>
          <w:color w:val="1E293B"/>
          <w:sz w:val="22"/>
          <w:szCs w:val="22"/>
        </w:rPr>
        <w:t xml:space="preserve">, </w:t>
      </w:r>
      <w:r>
        <w:rPr>
          <w:rStyle w:val="nfase"/>
          <w:rFonts w:ascii="Calibri" w:hAnsi="Calibri" w:cs="Calibri"/>
          <w:color w:val="1E293B"/>
          <w:sz w:val="22"/>
          <w:szCs w:val="22"/>
        </w:rPr>
        <w:t>custo evitado por automação</w:t>
      </w:r>
      <w:r>
        <w:rPr>
          <w:rFonts w:ascii="Calibri" w:hAnsi="Calibri" w:cs="Calibri"/>
          <w:color w:val="1E293B"/>
          <w:sz w:val="22"/>
          <w:szCs w:val="22"/>
        </w:rPr>
        <w:t xml:space="preserve">, </w:t>
      </w:r>
      <w:r>
        <w:rPr>
          <w:rStyle w:val="nfase"/>
          <w:rFonts w:ascii="Calibri" w:hAnsi="Calibri" w:cs="Calibri"/>
          <w:color w:val="1E293B"/>
          <w:sz w:val="22"/>
          <w:szCs w:val="22"/>
        </w:rPr>
        <w:t>produtividade de engenharia (DORA Metrics)</w:t>
      </w:r>
      <w:r>
        <w:rPr>
          <w:rFonts w:ascii="Calibri" w:hAnsi="Calibri" w:cs="Calibri"/>
          <w:color w:val="1E293B"/>
          <w:sz w:val="22"/>
          <w:szCs w:val="22"/>
        </w:rPr>
        <w:t xml:space="preserve"> e </w:t>
      </w:r>
      <w:r>
        <w:rPr>
          <w:rStyle w:val="nfase"/>
          <w:rFonts w:ascii="Calibri" w:hAnsi="Calibri" w:cs="Calibri"/>
          <w:color w:val="1E293B"/>
          <w:sz w:val="22"/>
          <w:szCs w:val="22"/>
        </w:rPr>
        <w:t>NPS de produtos AI-powered</w:t>
      </w:r>
      <w:r>
        <w:rPr>
          <w:rFonts w:ascii="Calibri" w:hAnsi="Calibri" w:cs="Calibri"/>
          <w:color w:val="1E293B"/>
          <w:sz w:val="22"/>
          <w:szCs w:val="22"/>
        </w:rPr>
        <w:t xml:space="preserve">. Empresas como ServiceNow e Atlassian usam relatórios trimestrais de "AI Impact" como parte de sua narrativa de IR (Investor Relations), criando um multiplicador de percepção de valor que vai além do resultado financeiro direto. O </w:t>
      </w:r>
      <w:r>
        <w:rPr>
          <w:rStyle w:val="Forte"/>
          <w:rFonts w:ascii="Calibri" w:hAnsi="Calibri" w:cs="Calibri"/>
          <w:color w:val="1E293B"/>
          <w:sz w:val="22"/>
          <w:szCs w:val="22"/>
        </w:rPr>
        <w:t>Playbook Atlas</w:t>
      </w:r>
      <w:r>
        <w:rPr>
          <w:rFonts w:ascii="Calibri" w:hAnsi="Calibri" w:cs="Calibri"/>
          <w:color w:val="1E293B"/>
          <w:sz w:val="22"/>
          <w:szCs w:val="22"/>
        </w:rPr>
        <w:t xml:space="preserve"> disponibiliza o componente </w:t>
      </w:r>
      <w:r>
        <w:rPr>
          <w:rStyle w:val="Forte"/>
          <w:rFonts w:ascii="Calibri" w:hAnsi="Calibri" w:cs="Calibri"/>
          <w:color w:val="1E293B"/>
          <w:sz w:val="22"/>
          <w:szCs w:val="22"/>
        </w:rPr>
        <w:t>"Executive AI Scorecard Builder"</w:t>
      </w:r>
      <w:r>
        <w:rPr>
          <w:rFonts w:ascii="Calibri" w:hAnsi="Calibri" w:cs="Calibri"/>
          <w:color w:val="1E293B"/>
          <w:sz w:val="22"/>
          <w:szCs w:val="22"/>
        </w:rPr>
        <w:t xml:space="preserve"> com templates de narrativa para board deck, integração com Tableau/Power BI e glossário financeiro de IA para não-técnicos.</w:t>
      </w:r>
    </w:p>
    <w:p w14:paraId="6AA70E7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Adotar priorização de portfólio de IA baseada em Expected Value Score (EVS)</w:t>
      </w:r>
    </w:p>
    <w:p w14:paraId="25E3912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Substituir a priorização ad hoc de projetos de IA por um modelo quantitativo de </w:t>
      </w:r>
      <w:r>
        <w:rPr>
          <w:rStyle w:val="Forte"/>
          <w:rFonts w:ascii="Calibri" w:hAnsi="Calibri" w:cs="Calibri"/>
          <w:color w:val="1E293B"/>
          <w:sz w:val="22"/>
          <w:szCs w:val="22"/>
        </w:rPr>
        <w:t>Expected Value Score</w:t>
      </w:r>
      <w:r>
        <w:rPr>
          <w:rFonts w:ascii="Calibri" w:hAnsi="Calibri" w:cs="Calibri"/>
          <w:color w:val="1E293B"/>
          <w:sz w:val="22"/>
          <w:szCs w:val="22"/>
        </w:rPr>
        <w:t xml:space="preserve">, que combina: impacto financeiro projetado (peso 40%), alinhamento estratégico (peso 30%), viabilidade técnica e tempo de implementação (peso 20%) e nível de risco regulatório/ético (peso 10%). Esse modelo — referenciado como boa prática no MIT CISR Research Briefing "Grow Enterprise AI Maturity" (2025) para empresas em transição do Nível 2 para o 3 — garante que o portfólio de IA seja gerido com a mesma disciplina de um portfólio de investimentos de produto. No </w:t>
      </w:r>
      <w:r>
        <w:rPr>
          <w:rStyle w:val="Forte"/>
          <w:rFonts w:ascii="Calibri" w:hAnsi="Calibri" w:cs="Calibri"/>
          <w:color w:val="1E293B"/>
          <w:sz w:val="22"/>
          <w:szCs w:val="22"/>
        </w:rPr>
        <w:t>Playbook Atlas</w:t>
      </w:r>
      <w:r>
        <w:rPr>
          <w:rFonts w:ascii="Calibri" w:hAnsi="Calibri" w:cs="Calibri"/>
          <w:color w:val="1E293B"/>
          <w:sz w:val="22"/>
          <w:szCs w:val="22"/>
        </w:rPr>
        <w:t xml:space="preserve">, o módulo </w:t>
      </w:r>
      <w:r>
        <w:rPr>
          <w:rStyle w:val="Forte"/>
          <w:rFonts w:ascii="Calibri" w:hAnsi="Calibri" w:cs="Calibri"/>
          <w:color w:val="1E293B"/>
          <w:sz w:val="22"/>
          <w:szCs w:val="22"/>
        </w:rPr>
        <w:t>"AI Portfolio Prioritization Engine"</w:t>
      </w:r>
      <w:r>
        <w:rPr>
          <w:rFonts w:ascii="Calibri" w:hAnsi="Calibri" w:cs="Calibri"/>
          <w:color w:val="1E293B"/>
          <w:sz w:val="22"/>
          <w:szCs w:val="22"/>
        </w:rPr>
        <w:t xml:space="preserve"> oferece o modelo EVS pré-configurado com integração a ferramentas de gestão de portfólio (Jira Portfolio, Azure DevOps, Planview).</w:t>
      </w:r>
    </w:p>
    <w:p w14:paraId="264534E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3413444">
          <v:rect id="_x0000_i1117" alt="" style="width:425.2pt;height:.05pt;mso-width-percent:0;mso-height-percent:0;mso-width-percent:0;mso-height-percent:0" o:hralign="center" o:hrstd="t" o:hr="t" fillcolor="#a0a0a0" stroked="f"/>
        </w:pict>
      </w:r>
    </w:p>
    <w:p w14:paraId="480C502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3.7.6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286"/>
        <w:gridCol w:w="2113"/>
        <w:gridCol w:w="1885"/>
        <w:gridCol w:w="2204"/>
      </w:tblGrid>
      <w:tr w:rsidR="00000000" w14:paraId="0E26E86B" w14:textId="77777777">
        <w:trPr>
          <w:divId w:val="815605069"/>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B6C8D4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E75198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D618BD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23D8BC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F6163B1" w14:textId="77777777">
        <w:trPr>
          <w:divId w:val="8156050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5AF160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projetos de IA com ROI documentado pós-produção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8ED14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 (estimado pelo score [Q2: 1,5])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37C23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dos projetos ativos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23C5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85% dos projetos ativos</w:t>
            </w:r>
          </w:p>
        </w:tc>
      </w:tr>
      <w:tr w:rsidR="00000000" w14:paraId="68C36043" w14:textId="77777777">
        <w:trPr>
          <w:divId w:val="81560506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3A4B9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ROI médio realizado por projeto de IA (retorno sobre investimento em capacidade)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57325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mensurado sistematicamente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D78D8F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Baseline estabelecido e publicado internamente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28D01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ROI médio ≥ 120% sobre investimento em capacidade (faixa típica Nível 2→3, MIT CISR)</w:t>
            </w:r>
          </w:p>
        </w:tc>
      </w:tr>
      <w:tr w:rsidR="00000000" w14:paraId="4E4EF748" w14:textId="77777777">
        <w:trPr>
          <w:divId w:val="8156050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50D1D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do AI Value Dashboard (% de iniciativas representadas no exec report)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98E12D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(não existe dashboard consolidado)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A75D3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 das iniciativas ativas mapeadas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3005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das iniciativas ativas + histórico de 4 trimestres</w:t>
            </w:r>
          </w:p>
        </w:tc>
      </w:tr>
      <w:tr w:rsidR="00000000" w14:paraId="13DB8DD2" w14:textId="77777777">
        <w:trPr>
          <w:divId w:val="81560506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71567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do portfólio de IA priorizado por Expected Value Score (EVS)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50E7D0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(priorização informal)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7E03E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 do pipeline novo avaliado por EVS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0CC977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80% do portfólio total avaliado e ranqueado por EVS</w:t>
            </w:r>
          </w:p>
        </w:tc>
      </w:tr>
      <w:tr w:rsidR="00000000" w14:paraId="073510FF" w14:textId="77777777">
        <w:trPr>
          <w:divId w:val="81560506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8DC5FB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Percepção de alinhamento financeiro da IA (score interno — [Q4] equivalent)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51ED8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2,67 (survey atual)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12A81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3,2 (próxima rodada do assessment)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C755D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3,7 — convergência com média setorial de Nível 3</w:t>
            </w:r>
          </w:p>
        </w:tc>
      </w:tr>
    </w:tbl>
    <w:p w14:paraId="19D9ABBB"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3.8 Dimensão — Ecossistema e Parcerias — Score 2.58 · Nível 3</w:t>
      </w:r>
    </w:p>
    <w:p w14:paraId="4E9DD50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3.8.1 Análise Diagnóstica</w:t>
      </w:r>
    </w:p>
    <w:p w14:paraId="1802ABA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de </w:t>
      </w:r>
      <w:r>
        <w:rPr>
          <w:rStyle w:val="Forte"/>
          <w:rFonts w:ascii="Calibri" w:hAnsi="Calibri" w:cs="Calibri"/>
          <w:color w:val="1E293B"/>
          <w:sz w:val="22"/>
          <w:szCs w:val="22"/>
        </w:rPr>
        <w:t>2.31 em Ecossistema e Parcerias</w:t>
      </w:r>
      <w:r>
        <w:rPr>
          <w:rFonts w:ascii="Calibri" w:hAnsi="Calibri" w:cs="Calibri"/>
          <w:color w:val="1E293B"/>
          <w:sz w:val="22"/>
          <w:szCs w:val="22"/>
        </w:rPr>
        <w:t xml:space="preserve"> — posicionando a Empresa Teste Maturidade IA no limiar inferior do estágio </w:t>
      </w:r>
      <w:r>
        <w:rPr>
          <w:rStyle w:val="nfase"/>
          <w:rFonts w:ascii="Calibri" w:hAnsi="Calibri" w:cs="Calibri"/>
          <w:color w:val="1E293B"/>
          <w:sz w:val="22"/>
          <w:szCs w:val="22"/>
        </w:rPr>
        <w:t>Build Pilots and Capabilities</w:t>
      </w:r>
      <w:r>
        <w:rPr>
          <w:rFonts w:ascii="Calibri" w:hAnsi="Calibri" w:cs="Calibri"/>
          <w:color w:val="1E293B"/>
          <w:sz w:val="22"/>
          <w:szCs w:val="22"/>
        </w:rPr>
        <w:t xml:space="preserve"> do MIT CISR — revela uma organização que conquistou acesso às infraestruturas cloud [Q1: 3.25], mas que ainda não converteu esse acesso em uma estratégia de ecossistema coerente. A pontuação de Q1 indica que times de engenharia já operam sobre AWS, Azure ou GCP para cargas de IA — provavelmente usando serviços gerenciados como SageMaker, Azure ML ou Vertex AI em projetos pontuais —, porém sem um </w:t>
      </w:r>
      <w:r>
        <w:rPr>
          <w:rStyle w:val="nfase"/>
          <w:rFonts w:ascii="Calibri" w:hAnsi="Calibri" w:cs="Calibri"/>
          <w:color w:val="1E293B"/>
          <w:sz w:val="22"/>
          <w:szCs w:val="22"/>
        </w:rPr>
        <w:t>cloud AI strategy</w:t>
      </w:r>
      <w:r>
        <w:rPr>
          <w:rFonts w:ascii="Calibri" w:hAnsi="Calibri" w:cs="Calibri"/>
          <w:color w:val="1E293B"/>
          <w:sz w:val="22"/>
          <w:szCs w:val="22"/>
        </w:rPr>
        <w:t xml:space="preserve"> que defina quais capacidades devem ser construídas internamente versus consumidas como serviço. Essa assimetria entre infraestrutura disponível e intencionalidade estratégica é o traço dominante desta dimensão.</w:t>
      </w:r>
    </w:p>
    <w:p w14:paraId="397F5F3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ruptura mais crítica aparece na ausência de um processo formal de </w:t>
      </w:r>
      <w:r>
        <w:rPr>
          <w:rStyle w:val="Forte"/>
          <w:rFonts w:ascii="Calibri" w:hAnsi="Calibri" w:cs="Calibri"/>
          <w:color w:val="1E293B"/>
          <w:sz w:val="22"/>
          <w:szCs w:val="22"/>
        </w:rPr>
        <w:t>make vs. buy</w:t>
      </w:r>
      <w:r>
        <w:rPr>
          <w:rFonts w:ascii="Calibri" w:hAnsi="Calibri" w:cs="Calibri"/>
          <w:color w:val="1E293B"/>
          <w:sz w:val="22"/>
          <w:szCs w:val="22"/>
        </w:rPr>
        <w:t xml:space="preserve"> [Q3: 1.86] — o score mais baixo da dimensão e um dos mais baixos do assessment inteiro. Em empresas de tecnologia do porte da Empresa Teste Maturidade IA, a tomada de decisão sobre construir um modelo próprio de </w:t>
      </w:r>
      <w:r>
        <w:rPr>
          <w:rStyle w:val="nfase"/>
          <w:rFonts w:ascii="Calibri" w:hAnsi="Calibri" w:cs="Calibri"/>
          <w:color w:val="1E293B"/>
          <w:sz w:val="22"/>
          <w:szCs w:val="22"/>
        </w:rPr>
        <w:t>code generation</w:t>
      </w:r>
      <w:r>
        <w:rPr>
          <w:rFonts w:ascii="Calibri" w:hAnsi="Calibri" w:cs="Calibri"/>
          <w:color w:val="1E293B"/>
          <w:sz w:val="22"/>
          <w:szCs w:val="22"/>
        </w:rPr>
        <w:t>, adquirir uma licença de copiloto (ex.: GitHub Copilot, Tabnine) ou integrar APIs de LLMs (OpenAI, Anthropic, Mistral) costuma ser realizada ad hoc, por projeto, sem critérios padronizados de TCO, risco de dependência de vendor ou alinhamento com roadmap de produto. O resultado observável é portfólio fragmentado: algumas squads desenvolvendo modelos internos, outras consumindo APIs externas sem governança de custo ou dados — padrão confirmado pela integração frágil com terceiros [Q2: 2.43].</w:t>
      </w:r>
    </w:p>
    <w:p w14:paraId="6675648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Os scores agrupados em </w:t>
      </w:r>
      <w:r>
        <w:rPr>
          <w:rStyle w:val="Forte"/>
          <w:rFonts w:ascii="Calibri" w:hAnsi="Calibri" w:cs="Calibri"/>
          <w:color w:val="1E293B"/>
          <w:sz w:val="22"/>
          <w:szCs w:val="22"/>
        </w:rPr>
        <w:t>2.29</w:t>
      </w:r>
      <w:r>
        <w:rPr>
          <w:rFonts w:ascii="Calibri" w:hAnsi="Calibri" w:cs="Calibri"/>
          <w:color w:val="1E293B"/>
          <w:sz w:val="22"/>
          <w:szCs w:val="22"/>
        </w:rPr>
        <w:t xml:space="preserve"> para parcerias [Q4], velocidade de integração [Q5] e processo de avaliação de parceiros [Q6] formam um cluster que sinaliza ausência de </w:t>
      </w:r>
      <w:r>
        <w:rPr>
          <w:rStyle w:val="nfase"/>
          <w:rFonts w:ascii="Calibri" w:hAnsi="Calibri" w:cs="Calibri"/>
          <w:color w:val="1E293B"/>
          <w:sz w:val="22"/>
          <w:szCs w:val="22"/>
        </w:rPr>
        <w:t>partnership governance</w:t>
      </w:r>
      <w:r>
        <w:rPr>
          <w:rFonts w:ascii="Calibri" w:hAnsi="Calibri" w:cs="Calibri"/>
          <w:color w:val="1E293B"/>
          <w:sz w:val="22"/>
          <w:szCs w:val="22"/>
        </w:rPr>
        <w:t xml:space="preserve">. Empresas de tecnologia de alto desempenho operam com um </w:t>
      </w:r>
      <w:r>
        <w:rPr>
          <w:rStyle w:val="nfase"/>
          <w:rFonts w:ascii="Calibri" w:hAnsi="Calibri" w:cs="Calibri"/>
          <w:color w:val="1E293B"/>
          <w:sz w:val="22"/>
          <w:szCs w:val="22"/>
        </w:rPr>
        <w:t>AI Vendor Registry</w:t>
      </w:r>
      <w:r>
        <w:rPr>
          <w:rFonts w:ascii="Calibri" w:hAnsi="Calibri" w:cs="Calibri"/>
          <w:color w:val="1E293B"/>
          <w:sz w:val="22"/>
          <w:szCs w:val="22"/>
        </w:rPr>
        <w:t xml:space="preserve"> e cadência de </w:t>
      </w:r>
      <w:r>
        <w:rPr>
          <w:rStyle w:val="nfase"/>
          <w:rFonts w:ascii="Calibri" w:hAnsi="Calibri" w:cs="Calibri"/>
          <w:color w:val="1E293B"/>
          <w:sz w:val="22"/>
          <w:szCs w:val="22"/>
        </w:rPr>
        <w:t>technology radar</w:t>
      </w:r>
      <w:r>
        <w:rPr>
          <w:rFonts w:ascii="Calibri" w:hAnsi="Calibri" w:cs="Calibri"/>
          <w:color w:val="1E293B"/>
          <w:sz w:val="22"/>
          <w:szCs w:val="22"/>
        </w:rPr>
        <w:t xml:space="preserve"> (modelo ThoughtWorks) para rastrear, qualificar e onboar parceiros de IA — consultorias especializadas, ISVs, startups de MLOps como Weights &amp; Biases ou Arize AI, e provedores de dados sintéticos. Na Empresa Teste Maturidade IA, esses processos não estão institucionalizados, o que significa que a velocidade de absorção de inovação externa está limitada pela capacidade de articulação informal de cada squad, não por uma competência organizacional sistematizada.</w:t>
      </w:r>
    </w:p>
    <w:p w14:paraId="409E5FD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7C97355">
          <v:rect id="_x0000_i1116" alt="" style="width:425.2pt;height:.05pt;mso-width-percent:0;mso-height-percent:0;mso-width-percent:0;mso-height-percent:0" o:hralign="center" o:hrstd="t" o:hr="t" fillcolor="#a0a0a0" stroked="f"/>
        </w:pict>
      </w:r>
    </w:p>
    <w:p w14:paraId="16CEA76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3.8.2 Evidências Críticas</w:t>
      </w:r>
    </w:p>
    <w:p w14:paraId="10F9B38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Puxaram o score para cima:</w:t>
      </w:r>
    </w:p>
    <w:p w14:paraId="5669EF7A" w14:textId="77777777" w:rsidR="00000000" w:rsidRDefault="00000000">
      <w:pPr>
        <w:numPr>
          <w:ilvl w:val="0"/>
          <w:numId w:val="2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Cloud AI Platforms → 3.25</w:t>
      </w:r>
      <w:r>
        <w:rPr>
          <w:rFonts w:ascii="Calibri" w:eastAsia="Times New Roman" w:hAnsi="Calibri" w:cs="Calibri"/>
          <w:color w:val="1E293B"/>
          <w:sz w:val="22"/>
          <w:szCs w:val="22"/>
        </w:rPr>
        <w:t>: presença consolidada em pelo menos um hyperscaler, com times capazes de provisionar ambientes de treinamento e inferência; evidência de maturidade técnica de base que outras dimensões ainda não aproveitam plenamente.</w:t>
      </w:r>
    </w:p>
    <w:p w14:paraId="3915118F"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Puxaram o score para baixo:</w:t>
      </w:r>
    </w:p>
    <w:p w14:paraId="784F668C" w14:textId="77777777" w:rsidR="00000000" w:rsidRDefault="00000000">
      <w:pPr>
        <w:numPr>
          <w:ilvl w:val="0"/>
          <w:numId w:val="2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Estratégia make vs. buy → 1.86</w:t>
      </w:r>
      <w:r>
        <w:rPr>
          <w:rFonts w:ascii="Calibri" w:eastAsia="Times New Roman" w:hAnsi="Calibri" w:cs="Calibri"/>
          <w:color w:val="1E293B"/>
          <w:sz w:val="22"/>
          <w:szCs w:val="22"/>
        </w:rPr>
        <w:t>: ausência de framework decisório documentado; cada iniciativa de IA reinventa o critério de build-or-buy, gerando desperdício de ciclos de engenharia e inconsistência de portfólio.</w:t>
      </w:r>
    </w:p>
    <w:p w14:paraId="191E13A1" w14:textId="77777777" w:rsidR="00000000" w:rsidRDefault="00000000">
      <w:pPr>
        <w:numPr>
          <w:ilvl w:val="0"/>
          <w:numId w:val="2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Integração com ferramentas e serviços de terceiros → 2.43</w:t>
      </w:r>
      <w:r>
        <w:rPr>
          <w:rFonts w:ascii="Calibri" w:eastAsia="Times New Roman" w:hAnsi="Calibri" w:cs="Calibri"/>
          <w:color w:val="1E293B"/>
          <w:sz w:val="22"/>
          <w:szCs w:val="22"/>
        </w:rPr>
        <w:t xml:space="preserve">: pipelines de integração com APIs externas (modelos, datasets, observabilidade) são pontuais e não reutilizáveis; ausência de camada de abstração tipo </w:t>
      </w:r>
      <w:r>
        <w:rPr>
          <w:rStyle w:val="nfase"/>
          <w:rFonts w:ascii="Calibri" w:eastAsia="Times New Roman" w:hAnsi="Calibri" w:cs="Calibri"/>
          <w:color w:val="1E293B"/>
          <w:sz w:val="22"/>
          <w:szCs w:val="22"/>
        </w:rPr>
        <w:t>AI Gateway</w:t>
      </w:r>
      <w:r>
        <w:rPr>
          <w:rFonts w:ascii="Calibri" w:eastAsia="Times New Roman" w:hAnsi="Calibri" w:cs="Calibri"/>
          <w:color w:val="1E293B"/>
          <w:sz w:val="22"/>
          <w:szCs w:val="22"/>
        </w:rPr>
        <w:t xml:space="preserve"> ou </w:t>
      </w:r>
      <w:r>
        <w:rPr>
          <w:rStyle w:val="nfase"/>
          <w:rFonts w:ascii="Calibri" w:eastAsia="Times New Roman" w:hAnsi="Calibri" w:cs="Calibri"/>
          <w:color w:val="1E293B"/>
          <w:sz w:val="22"/>
          <w:szCs w:val="22"/>
        </w:rPr>
        <w:t>Model Hub</w:t>
      </w:r>
      <w:r>
        <w:rPr>
          <w:rFonts w:ascii="Calibri" w:eastAsia="Times New Roman" w:hAnsi="Calibri" w:cs="Calibri"/>
          <w:color w:val="1E293B"/>
          <w:sz w:val="22"/>
          <w:szCs w:val="22"/>
        </w:rPr>
        <w:t xml:space="preserve"> interno.</w:t>
      </w:r>
    </w:p>
    <w:p w14:paraId="31E3CA40" w14:textId="77777777" w:rsidR="00000000" w:rsidRDefault="00000000">
      <w:pPr>
        <w:numPr>
          <w:ilvl w:val="0"/>
          <w:numId w:val="2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Parcerias com consultorias, vendors ou startups → 2.29</w:t>
      </w:r>
      <w:r>
        <w:rPr>
          <w:rFonts w:ascii="Calibri" w:eastAsia="Times New Roman" w:hAnsi="Calibri" w:cs="Calibri"/>
          <w:color w:val="1E293B"/>
          <w:sz w:val="22"/>
          <w:szCs w:val="22"/>
        </w:rPr>
        <w:t>: relacionamentos de parceria existem, mas não são geridos estrategicamente; sem SLAs, mecanismos de transferência de conhecimento ou revisões periódicas de valor gerado.</w:t>
      </w:r>
    </w:p>
    <w:p w14:paraId="0AD2CD06" w14:textId="77777777" w:rsidR="00000000" w:rsidRDefault="00000000">
      <w:pPr>
        <w:numPr>
          <w:ilvl w:val="0"/>
          <w:numId w:val="2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Velocidade de integração de novas soluções → 2.29</w:t>
      </w:r>
      <w:r>
        <w:rPr>
          <w:rFonts w:ascii="Calibri" w:eastAsia="Times New Roman" w:hAnsi="Calibri" w:cs="Calibri"/>
          <w:color w:val="1E293B"/>
          <w:sz w:val="22"/>
          <w:szCs w:val="22"/>
        </w:rPr>
        <w:t xml:space="preserve">: time-to-integrate de novos serviços de IA é alto; inexistência de </w:t>
      </w:r>
      <w:r>
        <w:rPr>
          <w:rStyle w:val="nfase"/>
          <w:rFonts w:ascii="Calibri" w:eastAsia="Times New Roman" w:hAnsi="Calibri" w:cs="Calibri"/>
          <w:color w:val="1E293B"/>
          <w:sz w:val="22"/>
          <w:szCs w:val="22"/>
        </w:rPr>
        <w:t>sandbox</w:t>
      </w:r>
      <w:r>
        <w:rPr>
          <w:rFonts w:ascii="Calibri" w:eastAsia="Times New Roman" w:hAnsi="Calibri" w:cs="Calibri"/>
          <w:color w:val="1E293B"/>
          <w:sz w:val="22"/>
          <w:szCs w:val="22"/>
        </w:rPr>
        <w:t xml:space="preserve"> de experimentação rápida ou de </w:t>
      </w:r>
      <w:r>
        <w:rPr>
          <w:rStyle w:val="nfase"/>
          <w:rFonts w:ascii="Calibri" w:eastAsia="Times New Roman" w:hAnsi="Calibri" w:cs="Calibri"/>
          <w:color w:val="1E293B"/>
          <w:sz w:val="22"/>
          <w:szCs w:val="22"/>
        </w:rPr>
        <w:t>connector library</w:t>
      </w:r>
      <w:r>
        <w:rPr>
          <w:rFonts w:ascii="Calibri" w:eastAsia="Times New Roman" w:hAnsi="Calibri" w:cs="Calibri"/>
          <w:color w:val="1E293B"/>
          <w:sz w:val="22"/>
          <w:szCs w:val="22"/>
        </w:rPr>
        <w:t xml:space="preserve"> padronizada.</w:t>
      </w:r>
    </w:p>
    <w:p w14:paraId="54101580" w14:textId="77777777" w:rsidR="00000000" w:rsidRDefault="00000000">
      <w:pPr>
        <w:numPr>
          <w:ilvl w:val="0"/>
          <w:numId w:val="2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Processo de avaliação e seleção de parceiros → 2.29</w:t>
      </w:r>
      <w:r>
        <w:rPr>
          <w:rFonts w:ascii="Calibri" w:eastAsia="Times New Roman" w:hAnsi="Calibri" w:cs="Calibri"/>
          <w:color w:val="1E293B"/>
          <w:sz w:val="22"/>
          <w:szCs w:val="22"/>
        </w:rPr>
        <w:t>: critérios de avaliação (segurança, privacidade de dados, alinhamento a LGPD, capacidade técnica) não estão formalizados em scorecard; risco de onboarding de parceiros sem due diligence adequada.</w:t>
      </w:r>
    </w:p>
    <w:p w14:paraId="0815C3C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F8863ED">
          <v:rect id="_x0000_i1115" alt="" style="width:425.2pt;height:.05pt;mso-width-percent:0;mso-height-percent:0;mso-width-percent:0;mso-height-percent:0" o:hralign="center" o:hrstd="t" o:hr="t" fillcolor="#a0a0a0" stroked="f"/>
        </w:pict>
      </w:r>
    </w:p>
    <w:p w14:paraId="4604F2A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3.8.3 Risco de Negócio</w:t>
      </w:r>
    </w:p>
    <w:p w14:paraId="46DCC09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Manter o ecossistema de parcerias neste nível expõe a Empresa Teste Maturidade IA a um risco específico e pouco óbvio: </w:t>
      </w:r>
      <w:r>
        <w:rPr>
          <w:rStyle w:val="Forte"/>
          <w:rFonts w:ascii="Calibri" w:hAnsi="Calibri" w:cs="Calibri"/>
          <w:color w:val="1E293B"/>
          <w:sz w:val="22"/>
          <w:szCs w:val="22"/>
        </w:rPr>
        <w:t>aprisionamento tecnológico reativo</w:t>
      </w:r>
      <w:r>
        <w:rPr>
          <w:rFonts w:ascii="Calibri" w:hAnsi="Calibri" w:cs="Calibri"/>
          <w:color w:val="1E293B"/>
          <w:sz w:val="22"/>
          <w:szCs w:val="22"/>
        </w:rPr>
        <w:t>. Sem uma estratégia make vs. buy formalizada e sem processo de qualificação de parceiros, a empresa tende a acumular dependências não gerenciadas — contratos com vendors de IA firmados no calor de projetos, sem cláusulas de portabilidade de modelos ou de dados, e sem avaliação de lock-in de API. No setor de tecnologia, onde a velocidade de obsolescência de plataformas de IA é de 12 a 18 meses (ciclos de GPT-3 → GPT-4 → Gemini → Claude ilustram isso empiricamente), organizações sem capacidade de trocar ou complementar parceiros rapidamente ficam presas em stacks defasados enquanto concorrentes já operam com modelos de próxima geração — degradando diretamente a competitividade de produto, a produtividade de engenharia e a proposta de valor aos clientes que esperam soluções de IA embarcadas e atualizadas.</w:t>
      </w:r>
    </w:p>
    <w:p w14:paraId="1DD519E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C5F8303">
          <v:rect id="_x0000_i1114" alt="" style="width:425.2pt;height:.05pt;mso-width-percent:0;mso-height-percent:0;mso-width-percent:0;mso-height-percent:0" o:hralign="center" o:hrstd="t" o:hr="t" fillcolor="#a0a0a0" stroked="f"/>
        </w:pict>
      </w:r>
    </w:p>
    <w:p w14:paraId="134E88F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3.8.4 Benchmark Setorial</w:t>
      </w:r>
    </w:p>
    <w:p w14:paraId="46E9E08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Empresas de tecnologia de grande porte que figuram no quartil superior do MIT CISR — como as descritas nos Research Briefings de 2024-2025 — operam nos estágios 3 e 4 (</w:t>
      </w:r>
      <w:r>
        <w:rPr>
          <w:rStyle w:val="nfase"/>
          <w:rFonts w:ascii="Calibri" w:hAnsi="Calibri" w:cs="Calibri"/>
          <w:color w:val="1E293B"/>
          <w:sz w:val="22"/>
          <w:szCs w:val="22"/>
        </w:rPr>
        <w:t>Develop AI Ways of Working</w:t>
      </w:r>
      <w:r>
        <w:rPr>
          <w:rFonts w:ascii="Calibri" w:hAnsi="Calibri" w:cs="Calibri"/>
          <w:color w:val="1E293B"/>
          <w:sz w:val="22"/>
          <w:szCs w:val="22"/>
        </w:rPr>
        <w:t xml:space="preserve"> e </w:t>
      </w:r>
      <w:r>
        <w:rPr>
          <w:rStyle w:val="nfase"/>
          <w:rFonts w:ascii="Calibri" w:hAnsi="Calibri" w:cs="Calibri"/>
          <w:color w:val="1E293B"/>
          <w:sz w:val="22"/>
          <w:szCs w:val="22"/>
        </w:rPr>
        <w:t>AI Future Ready</w:t>
      </w:r>
      <w:r>
        <w:rPr>
          <w:rFonts w:ascii="Calibri" w:hAnsi="Calibri" w:cs="Calibri"/>
          <w:color w:val="1E293B"/>
          <w:sz w:val="22"/>
          <w:szCs w:val="22"/>
        </w:rPr>
        <w:t xml:space="preserve">), caracterizados por ecossistemas de parceiros ativamente gerenciados: </w:t>
      </w:r>
      <w:r>
        <w:rPr>
          <w:rStyle w:val="nfase"/>
          <w:rFonts w:ascii="Calibri" w:hAnsi="Calibri" w:cs="Calibri"/>
          <w:color w:val="1E293B"/>
          <w:sz w:val="22"/>
          <w:szCs w:val="22"/>
        </w:rPr>
        <w:t>technology radars</w:t>
      </w:r>
      <w:r>
        <w:rPr>
          <w:rFonts w:ascii="Calibri" w:hAnsi="Calibri" w:cs="Calibri"/>
          <w:color w:val="1E293B"/>
          <w:sz w:val="22"/>
          <w:szCs w:val="22"/>
        </w:rPr>
        <w:t xml:space="preserve"> trimestrais, </w:t>
      </w:r>
      <w:r>
        <w:rPr>
          <w:rStyle w:val="nfase"/>
          <w:rFonts w:ascii="Calibri" w:hAnsi="Calibri" w:cs="Calibri"/>
          <w:color w:val="1E293B"/>
          <w:sz w:val="22"/>
          <w:szCs w:val="22"/>
        </w:rPr>
        <w:t>AI Vendor Registries</w:t>
      </w:r>
      <w:r>
        <w:rPr>
          <w:rFonts w:ascii="Calibri" w:hAnsi="Calibri" w:cs="Calibri"/>
          <w:color w:val="1E293B"/>
          <w:sz w:val="22"/>
          <w:szCs w:val="22"/>
        </w:rPr>
        <w:t xml:space="preserve"> com mais de 30 parceiros categorizados por domínio (infraestrutura, dados, modelos, segurança), e comitês de </w:t>
      </w:r>
      <w:r>
        <w:rPr>
          <w:rStyle w:val="nfase"/>
          <w:rFonts w:ascii="Calibri" w:hAnsi="Calibri" w:cs="Calibri"/>
          <w:color w:val="1E293B"/>
          <w:sz w:val="22"/>
          <w:szCs w:val="22"/>
        </w:rPr>
        <w:t>AI Sourcing</w:t>
      </w:r>
      <w:r>
        <w:rPr>
          <w:rFonts w:ascii="Calibri" w:hAnsi="Calibri" w:cs="Calibri"/>
          <w:color w:val="1E293B"/>
          <w:sz w:val="22"/>
          <w:szCs w:val="22"/>
        </w:rPr>
        <w:t xml:space="preserve"> com critérios técnicos e de compliance padronizados. A média setorial de </w:t>
      </w:r>
      <w:r>
        <w:rPr>
          <w:rStyle w:val="Forte"/>
          <w:rFonts w:ascii="Calibri" w:hAnsi="Calibri" w:cs="Calibri"/>
          <w:color w:val="1E293B"/>
          <w:sz w:val="22"/>
          <w:szCs w:val="22"/>
        </w:rPr>
        <w:t>3.5</w:t>
      </w:r>
      <w:r>
        <w:rPr>
          <w:rFonts w:ascii="Calibri" w:hAnsi="Calibri" w:cs="Calibri"/>
          <w:color w:val="1E293B"/>
          <w:sz w:val="22"/>
          <w:szCs w:val="22"/>
        </w:rPr>
        <w:t xml:space="preserve"> indica que a maioria dos pares da Empresa Teste Maturidade IA já superou a fase de experimentação cloud e está formalizando parcerias estratégicas — com empresas como AWS, NVIDIA, Hugging Face ou startups verticais —, enquanto a Empresa Teste Maturidade IA ainda opera em modo de integração ad hoc. Essa defasagem de aproximadamente </w:t>
      </w:r>
      <w:r>
        <w:rPr>
          <w:rStyle w:val="Forte"/>
          <w:rFonts w:ascii="Calibri" w:hAnsi="Calibri" w:cs="Calibri"/>
          <w:color w:val="1E293B"/>
          <w:sz w:val="22"/>
          <w:szCs w:val="22"/>
        </w:rPr>
        <w:t>1.2 ponto</w:t>
      </w:r>
      <w:r>
        <w:rPr>
          <w:rFonts w:ascii="Calibri" w:hAnsi="Calibri" w:cs="Calibri"/>
          <w:color w:val="1E293B"/>
          <w:sz w:val="22"/>
          <w:szCs w:val="22"/>
        </w:rPr>
        <w:t xml:space="preserve"> nesta dimensão representa não apenas uma lacuna de processo, mas uma desvantagem concreta em </w:t>
      </w:r>
      <w:r>
        <w:rPr>
          <w:rStyle w:val="nfase"/>
          <w:rFonts w:ascii="Calibri" w:hAnsi="Calibri" w:cs="Calibri"/>
          <w:color w:val="1E293B"/>
          <w:sz w:val="22"/>
          <w:szCs w:val="22"/>
        </w:rPr>
        <w:t>time-to-market</w:t>
      </w:r>
      <w:r>
        <w:rPr>
          <w:rFonts w:ascii="Calibri" w:hAnsi="Calibri" w:cs="Calibri"/>
          <w:color w:val="1E293B"/>
          <w:sz w:val="22"/>
          <w:szCs w:val="22"/>
        </w:rPr>
        <w:t xml:space="preserve"> de features de IA e em acesso privilegiado a programas de co-desenvolvimento com vendors líderes.</w:t>
      </w:r>
    </w:p>
    <w:p w14:paraId="1557384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04EA45A">
          <v:rect id="_x0000_i1113" alt="" style="width:425.2pt;height:.05pt;mso-width-percent:0;mso-height-percent:0;mso-width-percent:0;mso-height-percent:0" o:hralign="center" o:hrstd="t" o:hr="t" fillcolor="#a0a0a0" stroked="f"/>
        </w:pict>
      </w:r>
    </w:p>
    <w:p w14:paraId="4E165C6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3.8.5 Recomendações Específicas</w:t>
      </w:r>
    </w:p>
    <w:p w14:paraId="4AE38AC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Instituir o AI Sourcing Framework (Make vs. Buy Decision Matrix)</w:t>
      </w:r>
      <w:r>
        <w:rPr>
          <w:rFonts w:ascii="Calibri" w:hAnsi="Calibri" w:cs="Calibri"/>
          <w:color w:val="1E293B"/>
          <w:sz w:val="22"/>
          <w:szCs w:val="22"/>
        </w:rPr>
        <w:t xml:space="preserve"> Desenvolver e homologar um framework decisório para novas iniciativas de IA, cobrindo quatro vetores: </w:t>
      </w:r>
      <w:r>
        <w:rPr>
          <w:rStyle w:val="nfase"/>
          <w:rFonts w:ascii="Calibri" w:hAnsi="Calibri" w:cs="Calibri"/>
          <w:color w:val="1E293B"/>
          <w:sz w:val="22"/>
          <w:szCs w:val="22"/>
        </w:rPr>
        <w:t>diferenciação estratégica</w:t>
      </w:r>
      <w:r>
        <w:rPr>
          <w:rFonts w:ascii="Calibri" w:hAnsi="Calibri" w:cs="Calibri"/>
          <w:color w:val="1E293B"/>
          <w:sz w:val="22"/>
          <w:szCs w:val="22"/>
        </w:rPr>
        <w:t xml:space="preserve"> (build se for core IP), </w:t>
      </w:r>
      <w:r>
        <w:rPr>
          <w:rStyle w:val="nfase"/>
          <w:rFonts w:ascii="Calibri" w:hAnsi="Calibri" w:cs="Calibri"/>
          <w:color w:val="1E293B"/>
          <w:sz w:val="22"/>
          <w:szCs w:val="22"/>
        </w:rPr>
        <w:t>velocidade de mercado</w:t>
      </w:r>
      <w:r>
        <w:rPr>
          <w:rFonts w:ascii="Calibri" w:hAnsi="Calibri" w:cs="Calibri"/>
          <w:color w:val="1E293B"/>
          <w:sz w:val="22"/>
          <w:szCs w:val="22"/>
        </w:rPr>
        <w:t xml:space="preserve"> (buy/API se time-to-market &lt; 60 dias), </w:t>
      </w:r>
      <w:r>
        <w:rPr>
          <w:rStyle w:val="nfase"/>
          <w:rFonts w:ascii="Calibri" w:hAnsi="Calibri" w:cs="Calibri"/>
          <w:color w:val="1E293B"/>
          <w:sz w:val="22"/>
          <w:szCs w:val="22"/>
        </w:rPr>
        <w:t>TCO de 24 meses</w:t>
      </w:r>
      <w:r>
        <w:rPr>
          <w:rFonts w:ascii="Calibri" w:hAnsi="Calibri" w:cs="Calibri"/>
          <w:color w:val="1E293B"/>
          <w:sz w:val="22"/>
          <w:szCs w:val="22"/>
        </w:rPr>
        <w:t xml:space="preserve"> (incluindo custo de manutenção de modelo vs. licença) e </w:t>
      </w:r>
      <w:r>
        <w:rPr>
          <w:rStyle w:val="nfase"/>
          <w:rFonts w:ascii="Calibri" w:hAnsi="Calibri" w:cs="Calibri"/>
          <w:color w:val="1E293B"/>
          <w:sz w:val="22"/>
          <w:szCs w:val="22"/>
        </w:rPr>
        <w:t>risco de dependência</w:t>
      </w:r>
      <w:r>
        <w:rPr>
          <w:rFonts w:ascii="Calibri" w:hAnsi="Calibri" w:cs="Calibri"/>
          <w:color w:val="1E293B"/>
          <w:sz w:val="22"/>
          <w:szCs w:val="22"/>
        </w:rPr>
        <w:t xml:space="preserve"> (pontuação de lock-in e portabilidade). O </w:t>
      </w:r>
      <w:r>
        <w:rPr>
          <w:rStyle w:val="Forte"/>
          <w:rFonts w:ascii="Calibri" w:hAnsi="Calibri" w:cs="Calibri"/>
          <w:color w:val="1E293B"/>
          <w:sz w:val="22"/>
          <w:szCs w:val="22"/>
        </w:rPr>
        <w:t>Playbook Atlas</w:t>
      </w:r>
      <w:r>
        <w:rPr>
          <w:rFonts w:ascii="Calibri" w:hAnsi="Calibri" w:cs="Calibri"/>
          <w:color w:val="1E293B"/>
          <w:sz w:val="22"/>
          <w:szCs w:val="22"/>
        </w:rPr>
        <w:t xml:space="preserve"> oferece o blueprint </w:t>
      </w:r>
      <w:r>
        <w:rPr>
          <w:rStyle w:val="nfase"/>
          <w:rFonts w:ascii="Calibri" w:hAnsi="Calibri" w:cs="Calibri"/>
          <w:color w:val="1E293B"/>
          <w:sz w:val="22"/>
          <w:szCs w:val="22"/>
        </w:rPr>
        <w:t>AI Build-or-Buy Decision Engine</w:t>
      </w:r>
      <w:r>
        <w:rPr>
          <w:rFonts w:ascii="Calibri" w:hAnsi="Calibri" w:cs="Calibri"/>
          <w:color w:val="1E293B"/>
          <w:sz w:val="22"/>
          <w:szCs w:val="22"/>
        </w:rPr>
        <w:t>, com scorecard parametrizável e integração a catálogo de vendors. Aplicar como critério obrigatório em todo novo projeto de IA aprovado em budget.</w:t>
      </w:r>
    </w:p>
    <w:p w14:paraId="164F9FFB" w14:textId="77777777" w:rsidR="00000000" w:rsidRDefault="00000000">
      <w:pPr>
        <w:pStyle w:val="NormalWeb"/>
        <w:shd w:val="clear" w:color="auto" w:fill="FAF5FF"/>
        <w:spacing w:before="0" w:beforeAutospacing="0" w:after="120" w:afterAutospacing="0"/>
        <w:divId w:val="1846363585"/>
        <w:rPr>
          <w:rFonts w:ascii="Calibri" w:hAnsi="Calibri" w:cs="Calibri"/>
          <w:i/>
          <w:iCs/>
          <w:color w:val="581C87"/>
          <w:sz w:val="22"/>
          <w:szCs w:val="22"/>
        </w:rPr>
      </w:pPr>
      <w:r>
        <w:rPr>
          <w:rStyle w:val="Forte"/>
          <w:rFonts w:ascii="Calibri" w:hAnsi="Calibri" w:cs="Calibri"/>
          <w:i/>
          <w:iCs/>
          <w:color w:val="581C87"/>
          <w:sz w:val="22"/>
          <w:szCs w:val="22"/>
        </w:rPr>
        <w:t>Referência</w:t>
      </w:r>
      <w:r>
        <w:rPr>
          <w:rFonts w:ascii="Calibri" w:hAnsi="Calibri" w:cs="Calibri"/>
          <w:i/>
          <w:iCs/>
          <w:color w:val="581C87"/>
          <w:sz w:val="22"/>
          <w:szCs w:val="22"/>
        </w:rPr>
        <w:t>: MIT CISR recomenda que organizações no estágio 2→3 formalizem decisões de sourcing como competência institucional, não como julgamento individual de arquitetos.</w:t>
      </w:r>
    </w:p>
    <w:p w14:paraId="07B90FB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Criar AI Vendor Registry e Technology Radar trimestral</w:t>
      </w:r>
      <w:r>
        <w:rPr>
          <w:rFonts w:ascii="Calibri" w:hAnsi="Calibri" w:cs="Calibri"/>
          <w:color w:val="1E293B"/>
          <w:sz w:val="22"/>
          <w:szCs w:val="22"/>
        </w:rPr>
        <w:t xml:space="preserve"> Mapear e categorizar todos os parceiros, ferramentas e APIs de IA atualmente em uso (shadow e oficiais) em um </w:t>
      </w:r>
      <w:r>
        <w:rPr>
          <w:rStyle w:val="nfase"/>
          <w:rFonts w:ascii="Calibri" w:hAnsi="Calibri" w:cs="Calibri"/>
          <w:color w:val="1E293B"/>
          <w:sz w:val="22"/>
          <w:szCs w:val="22"/>
        </w:rPr>
        <w:t>AI Vendor Registry</w:t>
      </w:r>
      <w:r>
        <w:rPr>
          <w:rFonts w:ascii="Calibri" w:hAnsi="Calibri" w:cs="Calibri"/>
          <w:color w:val="1E293B"/>
          <w:sz w:val="22"/>
          <w:szCs w:val="22"/>
        </w:rPr>
        <w:t xml:space="preserve"> centralizado, com campos de: domínio de uso, nível de integração, score de due diligence (segurança, LGPD, SLA), custo mensal e criticidade. A partir daí, lançar um </w:t>
      </w:r>
      <w:r>
        <w:rPr>
          <w:rStyle w:val="nfase"/>
          <w:rFonts w:ascii="Calibri" w:hAnsi="Calibri" w:cs="Calibri"/>
          <w:color w:val="1E293B"/>
          <w:sz w:val="22"/>
          <w:szCs w:val="22"/>
        </w:rPr>
        <w:t>Technology Radar</w:t>
      </w:r>
      <w:r>
        <w:rPr>
          <w:rFonts w:ascii="Calibri" w:hAnsi="Calibri" w:cs="Calibri"/>
          <w:color w:val="1E293B"/>
          <w:sz w:val="22"/>
          <w:szCs w:val="22"/>
        </w:rPr>
        <w:t xml:space="preserve"> com cadência trimestral — modelo ThoughtWorks adaptado para IA — classificando tecnologias em </w:t>
      </w:r>
      <w:r>
        <w:rPr>
          <w:rStyle w:val="nfase"/>
          <w:rFonts w:ascii="Calibri" w:hAnsi="Calibri" w:cs="Calibri"/>
          <w:color w:val="1E293B"/>
          <w:sz w:val="22"/>
          <w:szCs w:val="22"/>
        </w:rPr>
        <w:t>Adopt / Trial / Assess / Hold</w:t>
      </w:r>
      <w:r>
        <w:rPr>
          <w:rFonts w:ascii="Calibri" w:hAnsi="Calibri" w:cs="Calibri"/>
          <w:color w:val="1E293B"/>
          <w:sz w:val="22"/>
          <w:szCs w:val="22"/>
        </w:rPr>
        <w:t xml:space="preserve">. O </w:t>
      </w:r>
      <w:r>
        <w:rPr>
          <w:rStyle w:val="Forte"/>
          <w:rFonts w:ascii="Calibri" w:hAnsi="Calibri" w:cs="Calibri"/>
          <w:color w:val="1E293B"/>
          <w:sz w:val="22"/>
          <w:szCs w:val="22"/>
        </w:rPr>
        <w:t>Playbook Atlas</w:t>
      </w:r>
      <w:r>
        <w:rPr>
          <w:rFonts w:ascii="Calibri" w:hAnsi="Calibri" w:cs="Calibri"/>
          <w:color w:val="1E293B"/>
          <w:sz w:val="22"/>
          <w:szCs w:val="22"/>
        </w:rPr>
        <w:t xml:space="preserve"> disponibiliza o componente </w:t>
      </w:r>
      <w:r>
        <w:rPr>
          <w:rStyle w:val="nfase"/>
          <w:rFonts w:ascii="Calibri" w:hAnsi="Calibri" w:cs="Calibri"/>
          <w:color w:val="1E293B"/>
          <w:sz w:val="22"/>
          <w:szCs w:val="22"/>
        </w:rPr>
        <w:t>AI Technology Radar Accelerator</w:t>
      </w:r>
      <w:r>
        <w:rPr>
          <w:rFonts w:ascii="Calibri" w:hAnsi="Calibri" w:cs="Calibri"/>
          <w:color w:val="1E293B"/>
          <w:sz w:val="22"/>
          <w:szCs w:val="22"/>
        </w:rPr>
        <w:t xml:space="preserve"> com templates de avaliação e dashboard de visualização.</w:t>
      </w:r>
    </w:p>
    <w:p w14:paraId="619BB2E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Implantar AI Gateway e Connector Library para integração acelerada</w:t>
      </w:r>
      <w:r>
        <w:rPr>
          <w:rFonts w:ascii="Calibri" w:hAnsi="Calibri" w:cs="Calibri"/>
          <w:color w:val="1E293B"/>
          <w:sz w:val="22"/>
          <w:szCs w:val="22"/>
        </w:rPr>
        <w:t xml:space="preserve"> Construir ou adotar uma camada de </w:t>
      </w:r>
      <w:r>
        <w:rPr>
          <w:rStyle w:val="nfase"/>
          <w:rFonts w:ascii="Calibri" w:hAnsi="Calibri" w:cs="Calibri"/>
          <w:color w:val="1E293B"/>
          <w:sz w:val="22"/>
          <w:szCs w:val="22"/>
        </w:rPr>
        <w:t>AI Gateway</w:t>
      </w:r>
      <w:r>
        <w:rPr>
          <w:rFonts w:ascii="Calibri" w:hAnsi="Calibri" w:cs="Calibri"/>
          <w:color w:val="1E293B"/>
          <w:sz w:val="22"/>
          <w:szCs w:val="22"/>
        </w:rPr>
        <w:t xml:space="preserve"> (ex.: padrão Kong AI Gateway, AWS Bedrock API Gateway ou solução open-source como LiteLLM) que abstraia chamadas a múltiplos provedores de modelos (OpenAI, Anthropic, Mistral, modelos internos), padronizando autenticação, rate limiting, logging e fallback. Criar uma </w:t>
      </w:r>
      <w:r>
        <w:rPr>
          <w:rStyle w:val="nfase"/>
          <w:rFonts w:ascii="Calibri" w:hAnsi="Calibri" w:cs="Calibri"/>
          <w:color w:val="1E293B"/>
          <w:sz w:val="22"/>
          <w:szCs w:val="22"/>
        </w:rPr>
        <w:t>Connector Library</w:t>
      </w:r>
      <w:r>
        <w:rPr>
          <w:rFonts w:ascii="Calibri" w:hAnsi="Calibri" w:cs="Calibri"/>
          <w:color w:val="1E293B"/>
          <w:sz w:val="22"/>
          <w:szCs w:val="22"/>
        </w:rPr>
        <w:t xml:space="preserve"> interna de integrações reutilizáveis com os principais serviços de IA do ecossistema. Isso reduz diretamente o </w:t>
      </w:r>
      <w:r>
        <w:rPr>
          <w:rStyle w:val="nfase"/>
          <w:rFonts w:ascii="Calibri" w:hAnsi="Calibri" w:cs="Calibri"/>
          <w:color w:val="1E293B"/>
          <w:sz w:val="22"/>
          <w:szCs w:val="22"/>
        </w:rPr>
        <w:t>time-to-integrate</w:t>
      </w:r>
      <w:r>
        <w:rPr>
          <w:rFonts w:ascii="Calibri" w:hAnsi="Calibri" w:cs="Calibri"/>
          <w:color w:val="1E293B"/>
          <w:sz w:val="22"/>
          <w:szCs w:val="22"/>
        </w:rPr>
        <w:t xml:space="preserve"> de novas soluções [Q5] e cria rastreabilidade de uso [Q6]. O </w:t>
      </w:r>
      <w:r>
        <w:rPr>
          <w:rStyle w:val="Forte"/>
          <w:rFonts w:ascii="Calibri" w:hAnsi="Calibri" w:cs="Calibri"/>
          <w:color w:val="1E293B"/>
          <w:sz w:val="22"/>
          <w:szCs w:val="22"/>
        </w:rPr>
        <w:t>Playbook Atlas</w:t>
      </w:r>
      <w:r>
        <w:rPr>
          <w:rFonts w:ascii="Calibri" w:hAnsi="Calibri" w:cs="Calibri"/>
          <w:color w:val="1E293B"/>
          <w:sz w:val="22"/>
          <w:szCs w:val="22"/>
        </w:rPr>
        <w:t xml:space="preserve"> inclui o blueprint </w:t>
      </w:r>
      <w:r>
        <w:rPr>
          <w:rStyle w:val="nfase"/>
          <w:rFonts w:ascii="Calibri" w:hAnsi="Calibri" w:cs="Calibri"/>
          <w:color w:val="1E293B"/>
          <w:sz w:val="22"/>
          <w:szCs w:val="22"/>
        </w:rPr>
        <w:t>Enterprise AI Gateway Pattern</w:t>
      </w:r>
      <w:r>
        <w:rPr>
          <w:rFonts w:ascii="Calibri" w:hAnsi="Calibri" w:cs="Calibri"/>
          <w:color w:val="1E293B"/>
          <w:sz w:val="22"/>
          <w:szCs w:val="22"/>
        </w:rPr>
        <w:t xml:space="preserve"> com implementação de referência em Kubernetes.</w:t>
      </w:r>
    </w:p>
    <w:p w14:paraId="2D2BD55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Estruturar programa formal de parcerias estratégicas em IA</w:t>
      </w:r>
      <w:r>
        <w:rPr>
          <w:rFonts w:ascii="Calibri" w:hAnsi="Calibri" w:cs="Calibri"/>
          <w:color w:val="1E293B"/>
          <w:sz w:val="22"/>
          <w:szCs w:val="22"/>
        </w:rPr>
        <w:t xml:space="preserve"> Definir uma taxonomia de parceiros (Tier 1: hyperscalers e plataformas; Tier 2: ISVs de MLOps/observabilidade; Tier 3: startups de IA verticais) e nomear </w:t>
      </w:r>
      <w:r>
        <w:rPr>
          <w:rStyle w:val="nfase"/>
          <w:rFonts w:ascii="Calibri" w:hAnsi="Calibri" w:cs="Calibri"/>
          <w:color w:val="1E293B"/>
          <w:sz w:val="22"/>
          <w:szCs w:val="22"/>
        </w:rPr>
        <w:t>Partnership Owners</w:t>
      </w:r>
      <w:r>
        <w:rPr>
          <w:rFonts w:ascii="Calibri" w:hAnsi="Calibri" w:cs="Calibri"/>
          <w:color w:val="1E293B"/>
          <w:sz w:val="22"/>
          <w:szCs w:val="22"/>
        </w:rPr>
        <w:t xml:space="preserve"> por tier, com responsabilidade de QBRs (</w:t>
      </w:r>
      <w:r>
        <w:rPr>
          <w:rStyle w:val="nfase"/>
          <w:rFonts w:ascii="Calibri" w:hAnsi="Calibri" w:cs="Calibri"/>
          <w:color w:val="1E293B"/>
          <w:sz w:val="22"/>
          <w:szCs w:val="22"/>
        </w:rPr>
        <w:t>Quarterly Business Reviews</w:t>
      </w:r>
      <w:r>
        <w:rPr>
          <w:rFonts w:ascii="Calibri" w:hAnsi="Calibri" w:cs="Calibri"/>
          <w:color w:val="1E293B"/>
          <w:sz w:val="22"/>
          <w:szCs w:val="22"/>
        </w:rPr>
        <w:t xml:space="preserve">), gestão de SLAs técnicos e programas de </w:t>
      </w:r>
      <w:r>
        <w:rPr>
          <w:rStyle w:val="nfase"/>
          <w:rFonts w:ascii="Calibri" w:hAnsi="Calibri" w:cs="Calibri"/>
          <w:color w:val="1E293B"/>
          <w:sz w:val="22"/>
          <w:szCs w:val="22"/>
        </w:rPr>
        <w:t>co-innovation</w:t>
      </w:r>
      <w:r>
        <w:rPr>
          <w:rFonts w:ascii="Calibri" w:hAnsi="Calibri" w:cs="Calibri"/>
          <w:color w:val="1E293B"/>
          <w:sz w:val="22"/>
          <w:szCs w:val="22"/>
        </w:rPr>
        <w:t>. Considerar ingresso em programas formais de parceria com AWS (AWS Partner Network), Microsoft (AI Cloud Partner Program) ou NVIDIA Inception — que oferecem créditos, acesso antecipado a modelos e suporte técnico preferencial relevantes para o porte da Empresa Teste Maturidade IA.</w:t>
      </w:r>
    </w:p>
    <w:p w14:paraId="05A50B28"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58E390D">
          <v:rect id="_x0000_i1112" alt="" style="width:425.2pt;height:.05pt;mso-width-percent:0;mso-height-percent:0;mso-width-percent:0;mso-height-percent:0" o:hralign="center" o:hrstd="t" o:hr="t" fillcolor="#a0a0a0" stroked="f"/>
        </w:pict>
      </w:r>
    </w:p>
    <w:p w14:paraId="27A9C41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3.8.6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3086"/>
        <w:gridCol w:w="1711"/>
        <w:gridCol w:w="1924"/>
        <w:gridCol w:w="1767"/>
      </w:tblGrid>
      <w:tr w:rsidR="00000000" w14:paraId="22AAF100" w14:textId="77777777">
        <w:trPr>
          <w:divId w:val="58684177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6D56A6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4607B9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471245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38C266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7977339" w14:textId="77777777">
        <w:trPr>
          <w:divId w:val="58684177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2EC58D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do AI Vendor Registry</w:t>
            </w:r>
            <w:r>
              <w:rPr>
                <w:rFonts w:ascii="Calibri" w:eastAsia="Times New Roman" w:hAnsi="Calibri" w:cs="Calibri"/>
                <w:color w:val="1E293B"/>
                <w:sz w:val="21"/>
                <w:szCs w:val="21"/>
              </w:rPr>
              <w:t xml:space="preserve"> (% de ferramentas/APIs de IA catalogadas e com due diligence completa)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188FF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 (estimado — registro informal)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57AD2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999FE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 revisão trimestral ativa</w:t>
            </w:r>
          </w:p>
        </w:tc>
      </w:tr>
      <w:tr w:rsidR="00000000" w14:paraId="028DB6A1" w14:textId="77777777">
        <w:trPr>
          <w:divId w:val="58684177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2C2E8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Decisões make vs. buy documentadas</w:t>
            </w:r>
            <w:r>
              <w:rPr>
                <w:rFonts w:ascii="Calibri" w:eastAsia="Times New Roman" w:hAnsi="Calibri" w:cs="Calibri"/>
                <w:color w:val="1E293B"/>
                <w:sz w:val="21"/>
                <w:szCs w:val="21"/>
              </w:rPr>
              <w:t xml:space="preserve"> (% de novos projetos de IA com framework aplicado)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20266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(ad hoc)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11DA56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95FFD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projetos aprovados em budget</w:t>
            </w:r>
          </w:p>
        </w:tc>
      </w:tr>
      <w:tr w:rsidR="00000000" w14:paraId="3D6C67A4" w14:textId="77777777">
        <w:trPr>
          <w:divId w:val="58684177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1A3F3C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Time-to-integrate de nova solução de IA</w:t>
            </w:r>
            <w:r>
              <w:rPr>
                <w:rFonts w:ascii="Calibri" w:eastAsia="Times New Roman" w:hAnsi="Calibri" w:cs="Calibri"/>
                <w:color w:val="1E293B"/>
                <w:sz w:val="21"/>
                <w:szCs w:val="21"/>
              </w:rPr>
              <w:t xml:space="preserve"> (dias úteis desde aprovação até produção-piloto)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9CB5F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~45 dias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A13E72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25 dias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898EA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15 dias</w:t>
            </w:r>
          </w:p>
        </w:tc>
      </w:tr>
      <w:tr w:rsidR="00000000" w14:paraId="648D2561" w14:textId="77777777">
        <w:trPr>
          <w:divId w:val="58684177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2D0CEA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Parcerias estratégicas ativas com SLA e QBR</w:t>
            </w:r>
            <w:r>
              <w:rPr>
                <w:rFonts w:ascii="Calibri" w:eastAsia="Times New Roman" w:hAnsi="Calibri" w:cs="Calibri"/>
                <w:color w:val="1E293B"/>
                <w:sz w:val="21"/>
                <w:szCs w:val="21"/>
              </w:rPr>
              <w:t xml:space="preserve"> (número de parceiros Tier 1+2 gerenciados formalmente)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F95A35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 (sem processo formal)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A8B21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 parceiros formalizados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C56A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parceiros com review cadenciado</w:t>
            </w:r>
          </w:p>
        </w:tc>
      </w:tr>
      <w:tr w:rsidR="00000000" w14:paraId="62B52289" w14:textId="77777777">
        <w:trPr>
          <w:divId w:val="58684177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DFE6A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de avaliação de parceiros</w:t>
            </w:r>
            <w:r>
              <w:rPr>
                <w:rFonts w:ascii="Calibri" w:eastAsia="Times New Roman" w:hAnsi="Calibri" w:cs="Calibri"/>
                <w:color w:val="1E293B"/>
                <w:sz w:val="21"/>
                <w:szCs w:val="21"/>
              </w:rPr>
              <w:t xml:space="preserve"> (média do scorecard de due diligence aplicado a novos vendors)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9A0B4D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mensurado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47697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Scorecard implantado; baseline estabelecido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A5B2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75/100 média dos parceiros ativos</w:t>
            </w:r>
          </w:p>
        </w:tc>
      </w:tr>
    </w:tbl>
    <w:p w14:paraId="59FACC51"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3.9 Dimensão — Valor por Unidade de Negócio — Score 2.07 · Nível 2</w:t>
      </w:r>
    </w:p>
    <w:p w14:paraId="057D248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3.9.1 Análise Diagnóstica</w:t>
      </w:r>
    </w:p>
    <w:p w14:paraId="2CEE43FA"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consolidado de </w:t>
      </w:r>
      <w:r>
        <w:rPr>
          <w:rStyle w:val="Forte"/>
          <w:rFonts w:ascii="Calibri" w:hAnsi="Calibri" w:cs="Calibri"/>
          <w:color w:val="1E293B"/>
          <w:sz w:val="22"/>
          <w:szCs w:val="22"/>
        </w:rPr>
        <w:t>2.06</w:t>
      </w:r>
      <w:r>
        <w:rPr>
          <w:rFonts w:ascii="Calibri" w:hAnsi="Calibri" w:cs="Calibri"/>
          <w:color w:val="1E293B"/>
          <w:sz w:val="22"/>
          <w:szCs w:val="22"/>
        </w:rPr>
        <w:t xml:space="preserve"> nesta dimensão — calculado a partir de seis perguntas cujas respostas oscilam entre 1.6 e 2.5 — revela um padrão característico de empresas de tecnologia que ainda tratam a IA como projeto centralizado, sem traduzir o investimento em linguagem de negócio por unidade. A pergunta [Q1] (score 2.1) indica que existe algum exercício de catalogação de casos de uso, mas ele permanece informal: é provável que a iniciativa tenha surgido de uma área técnica (engenharia ou arquitetura) sem adesão formal dos líderes de Serviços, Produtos e Operações. Em empresas de tecnologia de porte grande — especialmente aquelas com portfólio diversificado de produtos SaaS, serviços profissionais e operações internas — a ausência de um mapeamento estruturado por BU significa que casos de uso de alto valor ficam invisíveis ao C-Level, enquanto iniciativas de menor impacto consomem capacidade técnica escassa.</w:t>
      </w:r>
    </w:p>
    <w:p w14:paraId="4BB2A2D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dado mais crítico vem de [Q2] (score 1.6 — o mais baixo da dimensão): as unidades de negócio não possuem métricas específicas de valor gerado por IA. Isso é grave no contexto da Empresa Teste Maturidade IA porque, em empresas de tecnologia, cada BU opera com economics completamente distintos — uma unidade de Serviços Profissionais mede valor por utilização de consultores e redução de escopo improdutivo, enquanto uma unidade de Produtos mede por churn, NPS e velocity de feature delivery, e Operações mede por custo por transação e SLA. Sem métricas diferenciadas, é impossível demonstrar ROI granular. [Q3] (score 1.8) confirma o corolário: sem mensuração, a priorização de investimentos em IA não tem base empírica — ela reflete poder político interno ou intuição do time técnico, e não potencial de valor real por unidade. Esse gap é exatamente o que o MIT CISR identifica como barreira central para sair do Estágio 2 ("Build Pilots and Capabilities"): empresas neste nível têm pilotos funcionando, mas não conseguem escalar porque falta o mecanismo de alocação de capital orientado a impacto mensurável.</w:t>
      </w:r>
    </w:p>
    <w:p w14:paraId="1F1ED85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[Q4] (score 2.4) e [Q6] (score 2.5) são os pontos de maior força relativa da dimensão e oferecem uma alavanca real: há alguma autonomia percebida pelas BUs para propor iniciativas, e existe ao menos uma unidade de negócio reconhecida internamente como referência de adoção. Em empresas de tecnologia, a unidade mais madura costuma ser Engineering ou Product — que naturalmente têm maior familiaridade com modelos, APIs e ciclos iterativos. O risco aqui é que essa maturidade localizada permaneça como </w:t>
      </w:r>
      <w:r>
        <w:rPr>
          <w:rStyle w:val="Forte"/>
          <w:rFonts w:ascii="Calibri" w:hAnsi="Calibri" w:cs="Calibri"/>
          <w:color w:val="1E293B"/>
          <w:sz w:val="22"/>
          <w:szCs w:val="22"/>
        </w:rPr>
        <w:t>ilha de excelência</w:t>
      </w:r>
      <w:r>
        <w:rPr>
          <w:rFonts w:ascii="Calibri" w:hAnsi="Calibri" w:cs="Calibri"/>
          <w:color w:val="1E293B"/>
          <w:sz w:val="22"/>
          <w:szCs w:val="22"/>
        </w:rPr>
        <w:t xml:space="preserve"> sem mecanismo de replicação. [Q5] (score 2.0) confirma exatamente esse risco: o compartilhamento de soluções entre BUs é incipiente, o que gera retrabalho — múltiplas unidades provavelmente constroem soluções similares de forma independente, como classificadores de tickets, automações de onboarding ou assistentes de documentação, sem qualquer reutilização de artefatos.</w:t>
      </w:r>
    </w:p>
    <w:p w14:paraId="7D5E7C8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ADE2B33">
          <v:rect id="_x0000_i1111" alt="" style="width:425.2pt;height:.05pt;mso-width-percent:0;mso-height-percent:0;mso-width-percent:0;mso-height-percent:0" o:hralign="center" o:hrstd="t" o:hr="t" fillcolor="#a0a0a0" stroked="f"/>
        </w:pict>
      </w:r>
    </w:p>
    <w:p w14:paraId="2CDD7CE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3.9.2 Evidências Críticas</w:t>
      </w:r>
    </w:p>
    <w:p w14:paraId="480E570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Puxaram o score para BAIXO:</w:t>
      </w:r>
    </w:p>
    <w:p w14:paraId="692E8E73" w14:textId="77777777" w:rsidR="00000000" w:rsidRDefault="00000000">
      <w:pPr>
        <w:numPr>
          <w:ilvl w:val="0"/>
          <w:numId w:val="2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Score 1.6 — Ausência de métricas de valor por BU</w:t>
      </w:r>
      <w:r>
        <w:rPr>
          <w:rFonts w:ascii="Calibri" w:eastAsia="Times New Roman" w:hAnsi="Calibri" w:cs="Calibri"/>
          <w:color w:val="1E293B"/>
          <w:sz w:val="22"/>
          <w:szCs w:val="22"/>
        </w:rPr>
        <w:t>: nenhuma unidade de negócio opera com dashboard de IA vinculado a seus próprios P&amp;L ou OKRs; o valor gerado por IA é reportado de forma agregada (quando é reportado), tornando invisível quais BUs se beneficiam e quais ficam para trás</w:t>
      </w:r>
    </w:p>
    <w:p w14:paraId="3A1BADDD" w14:textId="77777777" w:rsidR="00000000" w:rsidRDefault="00000000">
      <w:pPr>
        <w:numPr>
          <w:ilvl w:val="0"/>
          <w:numId w:val="2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Score 1.8 — Priorização sem base em potencial de valor</w:t>
      </w:r>
      <w:r>
        <w:rPr>
          <w:rFonts w:ascii="Calibri" w:eastAsia="Times New Roman" w:hAnsi="Calibri" w:cs="Calibri"/>
          <w:color w:val="1E293B"/>
          <w:sz w:val="22"/>
          <w:szCs w:val="22"/>
        </w:rPr>
        <w:t>: decisões de investimento em IA seguem lógica de viabilidade técnica ou volume de demanda, não de retorno esperado por unidade — o que em empresas tech resulta em excesso de investimento em automações internas (baixo impacto externo) e subinvestimento em IA de produto (alto potencial de diferenciação competitiva)</w:t>
      </w:r>
    </w:p>
    <w:p w14:paraId="52E9DA31" w14:textId="77777777" w:rsidR="00000000" w:rsidRDefault="00000000">
      <w:pPr>
        <w:numPr>
          <w:ilvl w:val="0"/>
          <w:numId w:val="2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Score 2.1 — Mapeamento de casos de uso incompleto e não-sistematizado</w:t>
      </w:r>
      <w:r>
        <w:rPr>
          <w:rFonts w:ascii="Calibri" w:eastAsia="Times New Roman" w:hAnsi="Calibri" w:cs="Calibri"/>
          <w:color w:val="1E293B"/>
          <w:sz w:val="22"/>
          <w:szCs w:val="22"/>
        </w:rPr>
        <w:t>: o inventário de iniciativas de IA por BU, quando existe, não está vinculado a proprietários de negócio, não tem atualização periódica e não distingue casos em ideação, piloto, produção e descontinuados</w:t>
      </w:r>
    </w:p>
    <w:p w14:paraId="70645AA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Puxaram o score para CIMA (relativo):</w:t>
      </w:r>
    </w:p>
    <w:p w14:paraId="54F66BC5" w14:textId="77777777" w:rsidR="00000000" w:rsidRDefault="00000000">
      <w:pPr>
        <w:numPr>
          <w:ilvl w:val="0"/>
          <w:numId w:val="2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Score 2.5 — Existência de BU de referência</w:t>
      </w:r>
      <w:r>
        <w:rPr>
          <w:rFonts w:ascii="Calibri" w:eastAsia="Times New Roman" w:hAnsi="Calibri" w:cs="Calibri"/>
          <w:color w:val="1E293B"/>
          <w:sz w:val="22"/>
          <w:szCs w:val="22"/>
        </w:rPr>
        <w:t>: há uma unidade reconhecida como mais avançada, o que sinaliza capital humano e cultural disponível para disseminação — esse ativo deve ser formalizado como "Centro de Gravitação"</w:t>
      </w:r>
    </w:p>
    <w:p w14:paraId="0C9139C3" w14:textId="77777777" w:rsidR="00000000" w:rsidRDefault="00000000">
      <w:pPr>
        <w:numPr>
          <w:ilvl w:val="0"/>
          <w:numId w:val="2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Score 2.4 — Autonomia para propor iniciativas</w:t>
      </w:r>
      <w:r>
        <w:rPr>
          <w:rFonts w:ascii="Calibri" w:eastAsia="Times New Roman" w:hAnsi="Calibri" w:cs="Calibri"/>
          <w:color w:val="1E293B"/>
          <w:sz w:val="22"/>
          <w:szCs w:val="22"/>
        </w:rPr>
        <w:t>: as BUs sentem-se suficientemente empoderadas para trazer ideias de IA, o que reduz o risco de resistência cultural em um programa de escalabilidade — o desafio é canalizar essa autonomia com estrutura mínima de avaliação e governança</w:t>
      </w:r>
    </w:p>
    <w:p w14:paraId="3A61B579" w14:textId="77777777" w:rsidR="00000000" w:rsidRDefault="00000000">
      <w:pPr>
        <w:numPr>
          <w:ilvl w:val="0"/>
          <w:numId w:val="2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Score 2.0 — Compartilhamento ainda embrionário, mas não inexistente</w:t>
      </w:r>
      <w:r>
        <w:rPr>
          <w:rFonts w:ascii="Calibri" w:eastAsia="Times New Roman" w:hAnsi="Calibri" w:cs="Calibri"/>
          <w:color w:val="1E293B"/>
          <w:sz w:val="22"/>
          <w:szCs w:val="22"/>
        </w:rPr>
        <w:t>: há trocas informais (conversas entre times, repositórios ad hoc), o que sugere que o problema não é cultural — é de infraestrutura e processo</w:t>
      </w:r>
    </w:p>
    <w:p w14:paraId="517BAF4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D411CF7">
          <v:rect id="_x0000_i1110" alt="" style="width:425.2pt;height:.05pt;mso-width-percent:0;mso-height-percent:0;mso-width-percent:0;mso-height-percent:0" o:hralign="center" o:hrstd="t" o:hr="t" fillcolor="#a0a0a0" stroked="f"/>
        </w:pict>
      </w:r>
    </w:p>
    <w:p w14:paraId="1101471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3.9.3 Risco de Negócio</w:t>
      </w:r>
    </w:p>
    <w:p w14:paraId="790FF0B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Em empresas de tecnologia de grande porte, a incapacidade de demonstrar valor por unidade de negócio tem uma consequência direta e frequentemente subestimada: </w:t>
      </w:r>
      <w:r>
        <w:rPr>
          <w:rStyle w:val="Forte"/>
          <w:rFonts w:ascii="Calibri" w:hAnsi="Calibri" w:cs="Calibri"/>
          <w:color w:val="1E293B"/>
          <w:sz w:val="22"/>
          <w:szCs w:val="22"/>
        </w:rPr>
        <w:t>o orçamento de IA se torna refém do primeiro ciclo de corte</w:t>
      </w:r>
      <w:r>
        <w:rPr>
          <w:rFonts w:ascii="Calibri" w:hAnsi="Calibri" w:cs="Calibri"/>
          <w:color w:val="1E293B"/>
          <w:sz w:val="22"/>
          <w:szCs w:val="22"/>
        </w:rPr>
        <w:t>. Sem métricas granulares que conectem iniciativas de IA ao P&amp;L de cada BU, o programa de IA da Empresa Teste Maturidade IA aparece no budget como custo centralizado difuso — e no momento em que a pressão por eficiência aumentar (ciclo de contração, mudança de CEO, reorientação de portfólio), ele será o primeiro a ser reduzido, exatamente porque nenhuma unidade de negócio consegue defender sua fatia com dados concretos. Paralelamente, a ausência de compartilhamento estruturado entre BUs e de priorização baseada em valor significa que a empresa continuará acumulando pilotos de baixo impacto enquanto concorrentes diretos — já operando no Estágio 3 do MIT CISR — aceleram diferenciação de produto com IA generativa em developer productivity, autonomous testing e experiência do cliente, criando uma distância competitiva que será progressivamente mais difícil e cara de recuperar.</w:t>
      </w:r>
    </w:p>
    <w:p w14:paraId="7392E71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301A686">
          <v:rect id="_x0000_i1109" alt="" style="width:425.2pt;height:.05pt;mso-width-percent:0;mso-height-percent:0;mso-width-percent:0;mso-height-percent:0" o:hralign="center" o:hrstd="t" o:hr="t" fillcolor="#a0a0a0" stroked="f"/>
        </w:pict>
      </w:r>
    </w:p>
    <w:p w14:paraId="65B816D3"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3.9.4 Benchmark Setorial</w:t>
      </w:r>
    </w:p>
    <w:p w14:paraId="625082C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empresas de porte grande operam com média de </w:t>
      </w:r>
      <w:r>
        <w:rPr>
          <w:rStyle w:val="Forte"/>
          <w:rFonts w:ascii="Calibri" w:hAnsi="Calibri" w:cs="Calibri"/>
          <w:color w:val="1E293B"/>
          <w:sz w:val="22"/>
          <w:szCs w:val="22"/>
        </w:rPr>
        <w:t>3.5</w:t>
      </w:r>
      <w:r>
        <w:rPr>
          <w:rFonts w:ascii="Calibri" w:hAnsi="Calibri" w:cs="Calibri"/>
          <w:color w:val="1E293B"/>
          <w:sz w:val="22"/>
          <w:szCs w:val="22"/>
        </w:rPr>
        <w:t xml:space="preserve"> nesta dimensão, segundo o benchmark de referência — uma diferença de aproximadamente 1.44 pontos em relação ao score atual da Empresa Teste Maturidade IA. Essa distância não é apenas quantitativa: ela traduz uma diferença qualitativa de maturidade operacional. Empresas tech comparáveis nesse percentil já implementaram </w:t>
      </w:r>
      <w:r>
        <w:rPr>
          <w:rStyle w:val="Forte"/>
          <w:rFonts w:ascii="Calibri" w:hAnsi="Calibri" w:cs="Calibri"/>
          <w:color w:val="1E293B"/>
          <w:sz w:val="22"/>
          <w:szCs w:val="22"/>
        </w:rPr>
        <w:t>AI Value Councils</w:t>
      </w:r>
      <w:r>
        <w:rPr>
          <w:rFonts w:ascii="Calibri" w:hAnsi="Calibri" w:cs="Calibri"/>
          <w:color w:val="1E293B"/>
          <w:sz w:val="22"/>
          <w:szCs w:val="22"/>
        </w:rPr>
        <w:t xml:space="preserve"> por unidade de negócio, com OKRs específicos de IA auditados trimestralmente; utilizam ferramentas como plataformas internas de AI Marketplace (onde BUs publicam e consomem soluções reutilizáveis); e têm mecanismos formais de </w:t>
      </w:r>
      <w:r>
        <w:rPr>
          <w:rStyle w:val="Forte"/>
          <w:rFonts w:ascii="Calibri" w:hAnsi="Calibri" w:cs="Calibri"/>
          <w:color w:val="1E293B"/>
          <w:sz w:val="22"/>
          <w:szCs w:val="22"/>
        </w:rPr>
        <w:t>AI Budget Allocation</w:t>
      </w:r>
      <w:r>
        <w:rPr>
          <w:rFonts w:ascii="Calibri" w:hAnsi="Calibri" w:cs="Calibri"/>
          <w:color w:val="1E293B"/>
          <w:sz w:val="22"/>
          <w:szCs w:val="22"/>
        </w:rPr>
        <w:t xml:space="preserve"> baseados em potencial de valor aferido por scoring de iniciativas. Gigantes como Salesforce, ServiceNow e Totvs (no contexto nacional) já operam com modelos em que cada unidade de produto tem um "AI Product Manager" dedicado, com metas de penetração de funcionalidades de IA no portfólio. Para uma empresa de tecnologia como a Empresa Teste Maturidade IA, que provavelmente vende capacidades de transformação digital para seus clientes, há também um risco de credibilidade: é difícil posicionar-se como referência em IA para o mercado enquanto internamente as BUs não conseguem medir o valor que a IA gera em seus próprios processos e produtos.</w:t>
      </w:r>
    </w:p>
    <w:p w14:paraId="45B5FC3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7E08FE0">
          <v:rect id="_x0000_i1108" alt="" style="width:425.2pt;height:.05pt;mso-width-percent:0;mso-height-percent:0;mso-width-percent:0;mso-height-percent:0" o:hralign="center" o:hrstd="t" o:hr="t" fillcolor="#a0a0a0" stroked="f"/>
        </w:pict>
      </w:r>
    </w:p>
    <w:p w14:paraId="719A71D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3.9.5 Recomendações Específicas</w:t>
      </w:r>
    </w:p>
    <w:p w14:paraId="4D0F5D50"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Instituir o AI Value Canvas por BU (0–90 dias)</w:t>
      </w:r>
    </w:p>
    <w:p w14:paraId="617BB61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Desenvolver e implementar um </w:t>
      </w:r>
      <w:r>
        <w:rPr>
          <w:rStyle w:val="Forte"/>
          <w:rFonts w:ascii="Calibri" w:hAnsi="Calibri" w:cs="Calibri"/>
          <w:color w:val="1E293B"/>
          <w:sz w:val="22"/>
          <w:szCs w:val="22"/>
        </w:rPr>
        <w:t>AI Value Canvas</w:t>
      </w:r>
      <w:r>
        <w:rPr>
          <w:rFonts w:ascii="Calibri" w:hAnsi="Calibri" w:cs="Calibri"/>
          <w:color w:val="1E293B"/>
          <w:sz w:val="22"/>
          <w:szCs w:val="22"/>
        </w:rPr>
        <w:t xml:space="preserve"> padronizado para cada unidade de negócio (Serviços, Produtos, Operações e demais BUs relevantes), mapeando: (a) casos de uso ativos e em pipeline, (b) métricas de valor específicas por BU (ex.: Serviços → redução de horas não-faturáveis por projeto; Produtos → aumento de feature adoption rate em módulos com IA; Operações → redução de custo por chamado via deflexão automatizada), (c) owner de negócio e owner técnico de cada iniciativa. O Canvas deve ser revisado em ciclos trimestrais com participação obrigatória do líder de cada BU. </w:t>
      </w:r>
      <w:r>
        <w:rPr>
          <w:rStyle w:val="Forte"/>
          <w:rFonts w:ascii="Calibri" w:hAnsi="Calibri" w:cs="Calibri"/>
          <w:color w:val="1E293B"/>
          <w:sz w:val="22"/>
          <w:szCs w:val="22"/>
        </w:rPr>
        <w:t>Referência Playbook Atlas</w:t>
      </w:r>
      <w:r>
        <w:rPr>
          <w:rFonts w:ascii="Calibri" w:hAnsi="Calibri" w:cs="Calibri"/>
          <w:color w:val="1E293B"/>
          <w:sz w:val="22"/>
          <w:szCs w:val="22"/>
        </w:rPr>
        <w:t xml:space="preserve">: </w:t>
      </w:r>
      <w:r>
        <w:rPr>
          <w:rStyle w:val="nfase"/>
          <w:rFonts w:ascii="Calibri" w:hAnsi="Calibri" w:cs="Calibri"/>
          <w:color w:val="1E293B"/>
          <w:sz w:val="22"/>
          <w:szCs w:val="22"/>
        </w:rPr>
        <w:t>Business Value Mapping Blueprint</w:t>
      </w:r>
      <w:r>
        <w:rPr>
          <w:rFonts w:ascii="Calibri" w:hAnsi="Calibri" w:cs="Calibri"/>
          <w:color w:val="1E293B"/>
          <w:sz w:val="22"/>
          <w:szCs w:val="22"/>
        </w:rPr>
        <w:t xml:space="preserve"> + </w:t>
      </w:r>
      <w:r>
        <w:rPr>
          <w:rStyle w:val="nfase"/>
          <w:rFonts w:ascii="Calibri" w:hAnsi="Calibri" w:cs="Calibri"/>
          <w:color w:val="1E293B"/>
          <w:sz w:val="22"/>
          <w:szCs w:val="22"/>
        </w:rPr>
        <w:t>AI Use Case Registry Engine</w:t>
      </w:r>
      <w:r>
        <w:rPr>
          <w:rFonts w:ascii="Calibri" w:hAnsi="Calibri" w:cs="Calibri"/>
          <w:color w:val="1E293B"/>
          <w:sz w:val="22"/>
          <w:szCs w:val="22"/>
        </w:rPr>
        <w:t xml:space="preserve"> (componente de catalogação e scoring de casos de uso com campos customizáveis por BU).</w:t>
      </w:r>
    </w:p>
    <w:p w14:paraId="62050C4F"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Criar o mecanismo de AI Investment Scoring para priorização cross-BU (90–180 dias)</w:t>
      </w:r>
    </w:p>
    <w:p w14:paraId="76B613E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Substituir a priorização informal de investimentos por um </w:t>
      </w:r>
      <w:r>
        <w:rPr>
          <w:rStyle w:val="Forte"/>
          <w:rFonts w:ascii="Calibri" w:hAnsi="Calibri" w:cs="Calibri"/>
          <w:color w:val="1E293B"/>
          <w:sz w:val="22"/>
          <w:szCs w:val="22"/>
        </w:rPr>
        <w:t>AI Investment Scoring Model</w:t>
      </w:r>
      <w:r>
        <w:rPr>
          <w:rFonts w:ascii="Calibri" w:hAnsi="Calibri" w:cs="Calibri"/>
          <w:color w:val="1E293B"/>
          <w:sz w:val="22"/>
          <w:szCs w:val="22"/>
        </w:rPr>
        <w:t xml:space="preserve"> — modelo quantitativo que avalia cada iniciativa de IA em quatro eixos: (1) potencial de impacto financeiro por BU (receita protegida ou gerada, custo evitado), (2) viabilidade técnica (dados disponíveis, complexidade de integração), (3) velocidade de time-to-value, (4) risco regulatório/operacional. O modelo deve ser calibrado com os líderes de negócio e revisado semestralmente. Isso endereça diretamente [Q3] e cria a base para alocação de budget orientada a dados. </w:t>
      </w:r>
      <w:r>
        <w:rPr>
          <w:rStyle w:val="Forte"/>
          <w:rFonts w:ascii="Calibri" w:hAnsi="Calibri" w:cs="Calibri"/>
          <w:color w:val="1E293B"/>
          <w:sz w:val="22"/>
          <w:szCs w:val="22"/>
        </w:rPr>
        <w:t>Referência Playbook Atlas</w:t>
      </w:r>
      <w:r>
        <w:rPr>
          <w:rFonts w:ascii="Calibri" w:hAnsi="Calibri" w:cs="Calibri"/>
          <w:color w:val="1E293B"/>
          <w:sz w:val="22"/>
          <w:szCs w:val="22"/>
        </w:rPr>
        <w:t xml:space="preserve">: </w:t>
      </w:r>
      <w:r>
        <w:rPr>
          <w:rStyle w:val="nfase"/>
          <w:rFonts w:ascii="Calibri" w:hAnsi="Calibri" w:cs="Calibri"/>
          <w:color w:val="1E293B"/>
          <w:sz w:val="22"/>
          <w:szCs w:val="22"/>
        </w:rPr>
        <w:t>AI Portfolio Prioritization Framework</w:t>
      </w:r>
      <w:r>
        <w:rPr>
          <w:rFonts w:ascii="Calibri" w:hAnsi="Calibri" w:cs="Calibri"/>
          <w:color w:val="1E293B"/>
          <w:sz w:val="22"/>
          <w:szCs w:val="22"/>
        </w:rPr>
        <w:t xml:space="preserve"> + </w:t>
      </w:r>
      <w:r>
        <w:rPr>
          <w:rStyle w:val="nfase"/>
          <w:rFonts w:ascii="Calibri" w:hAnsi="Calibri" w:cs="Calibri"/>
          <w:color w:val="1E293B"/>
          <w:sz w:val="22"/>
          <w:szCs w:val="22"/>
        </w:rPr>
        <w:t>FinOps AI Allocation Engine</w:t>
      </w:r>
      <w:r>
        <w:rPr>
          <w:rFonts w:ascii="Calibri" w:hAnsi="Calibri" w:cs="Calibri"/>
          <w:color w:val="1E293B"/>
          <w:sz w:val="22"/>
          <w:szCs w:val="22"/>
        </w:rPr>
        <w:t>.</w:t>
      </w:r>
    </w:p>
    <w:p w14:paraId="42258F2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Formalizar a BU de referência como "AI Center of Gravity" e programa de replicação (90–180 dias)</w:t>
      </w:r>
    </w:p>
    <w:p w14:paraId="35F0D08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unidade de negócio com score mais alto em [Q6] deve ser formalmente designada como </w:t>
      </w:r>
      <w:r>
        <w:rPr>
          <w:rStyle w:val="Forte"/>
          <w:rFonts w:ascii="Calibri" w:hAnsi="Calibri" w:cs="Calibri"/>
          <w:color w:val="1E293B"/>
          <w:sz w:val="22"/>
          <w:szCs w:val="22"/>
        </w:rPr>
        <w:t>AI Center of Gravity</w:t>
      </w:r>
      <w:r>
        <w:rPr>
          <w:rFonts w:ascii="Calibri" w:hAnsi="Calibri" w:cs="Calibri"/>
          <w:color w:val="1E293B"/>
          <w:sz w:val="22"/>
          <w:szCs w:val="22"/>
        </w:rPr>
        <w:t xml:space="preserve"> — não um CoE centralizado e burocrático, mas uma BU-âncora que exporta padrões, artefatos e pessoas. Criar um programa de </w:t>
      </w:r>
      <w:r>
        <w:rPr>
          <w:rStyle w:val="Forte"/>
          <w:rFonts w:ascii="Calibri" w:hAnsi="Calibri" w:cs="Calibri"/>
          <w:color w:val="1E293B"/>
          <w:sz w:val="22"/>
          <w:szCs w:val="22"/>
        </w:rPr>
        <w:t>AI Rotation</w:t>
      </w:r>
      <w:r>
        <w:rPr>
          <w:rFonts w:ascii="Calibri" w:hAnsi="Calibri" w:cs="Calibri"/>
          <w:color w:val="1E293B"/>
          <w:sz w:val="22"/>
          <w:szCs w:val="22"/>
        </w:rPr>
        <w:t xml:space="preserve"> em que 2–3 profissionais dessa BU rodem por outras unidades em ciclos de 60 dias, atuando como embedded AI Champions. Simultaneamente, publicar um </w:t>
      </w:r>
      <w:r>
        <w:rPr>
          <w:rStyle w:val="Forte"/>
          <w:rFonts w:ascii="Calibri" w:hAnsi="Calibri" w:cs="Calibri"/>
          <w:color w:val="1E293B"/>
          <w:sz w:val="22"/>
          <w:szCs w:val="22"/>
        </w:rPr>
        <w:t>Internal AI Solutions Marketplace</w:t>
      </w:r>
      <w:r>
        <w:rPr>
          <w:rFonts w:ascii="Calibri" w:hAnsi="Calibri" w:cs="Calibri"/>
          <w:color w:val="1E293B"/>
          <w:sz w:val="22"/>
          <w:szCs w:val="22"/>
        </w:rPr>
        <w:t xml:space="preserve"> — repositório estruturado onde a BU de referência publica componentes reutilizáveis (prompts certificados, pipelines de dados validados, integrações de modelos) disponíveis para consumo pelas demais BUs. Endereça [Q5] e [Q6]. </w:t>
      </w:r>
      <w:r>
        <w:rPr>
          <w:rStyle w:val="Forte"/>
          <w:rFonts w:ascii="Calibri" w:hAnsi="Calibri" w:cs="Calibri"/>
          <w:color w:val="1E293B"/>
          <w:sz w:val="22"/>
          <w:szCs w:val="22"/>
        </w:rPr>
        <w:t>Referência Playbook Atlas</w:t>
      </w:r>
      <w:r>
        <w:rPr>
          <w:rFonts w:ascii="Calibri" w:hAnsi="Calibri" w:cs="Calibri"/>
          <w:color w:val="1E293B"/>
          <w:sz w:val="22"/>
          <w:szCs w:val="22"/>
        </w:rPr>
        <w:t xml:space="preserve">: </w:t>
      </w:r>
      <w:r>
        <w:rPr>
          <w:rStyle w:val="nfase"/>
          <w:rFonts w:ascii="Calibri" w:hAnsi="Calibri" w:cs="Calibri"/>
          <w:color w:val="1E293B"/>
          <w:sz w:val="22"/>
          <w:szCs w:val="22"/>
        </w:rPr>
        <w:t>AI Champions Network Blueprint</w:t>
      </w:r>
      <w:r>
        <w:rPr>
          <w:rFonts w:ascii="Calibri" w:hAnsi="Calibri" w:cs="Calibri"/>
          <w:color w:val="1E293B"/>
          <w:sz w:val="22"/>
          <w:szCs w:val="22"/>
        </w:rPr>
        <w:t xml:space="preserve"> + </w:t>
      </w:r>
      <w:r>
        <w:rPr>
          <w:rStyle w:val="nfase"/>
          <w:rFonts w:ascii="Calibri" w:hAnsi="Calibri" w:cs="Calibri"/>
          <w:color w:val="1E293B"/>
          <w:sz w:val="22"/>
          <w:szCs w:val="22"/>
        </w:rPr>
        <w:t>Internal AI Marketplace Architecture</w:t>
      </w:r>
      <w:r>
        <w:rPr>
          <w:rFonts w:ascii="Calibri" w:hAnsi="Calibri" w:cs="Calibri"/>
          <w:color w:val="1E293B"/>
          <w:sz w:val="22"/>
          <w:szCs w:val="22"/>
        </w:rPr>
        <w:t xml:space="preserve"> + </w:t>
      </w:r>
      <w:r>
        <w:rPr>
          <w:rStyle w:val="nfase"/>
          <w:rFonts w:ascii="Calibri" w:hAnsi="Calibri" w:cs="Calibri"/>
          <w:color w:val="1E293B"/>
          <w:sz w:val="22"/>
          <w:szCs w:val="22"/>
        </w:rPr>
        <w:t>Reusable Agent Components Library</w:t>
      </w:r>
      <w:r>
        <w:rPr>
          <w:rFonts w:ascii="Calibri" w:hAnsi="Calibri" w:cs="Calibri"/>
          <w:color w:val="1E293B"/>
          <w:sz w:val="22"/>
          <w:szCs w:val="22"/>
        </w:rPr>
        <w:t>.</w:t>
      </w:r>
    </w:p>
    <w:p w14:paraId="727BFE2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Implantar BU-level AI Scorecards integrados ao ritual de performance (180–365 dias)</w:t>
      </w:r>
    </w:p>
    <w:p w14:paraId="19D2838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Criar </w:t>
      </w:r>
      <w:r>
        <w:rPr>
          <w:rStyle w:val="Forte"/>
          <w:rFonts w:ascii="Calibri" w:hAnsi="Calibri" w:cs="Calibri"/>
          <w:color w:val="1E293B"/>
          <w:sz w:val="22"/>
          <w:szCs w:val="22"/>
        </w:rPr>
        <w:t>AI Scorecards</w:t>
      </w:r>
      <w:r>
        <w:rPr>
          <w:rFonts w:ascii="Calibri" w:hAnsi="Calibri" w:cs="Calibri"/>
          <w:color w:val="1E293B"/>
          <w:sz w:val="22"/>
          <w:szCs w:val="22"/>
        </w:rPr>
        <w:t xml:space="preserve"> por BU integrados ao ciclo de gestão de performance da empresa (QBRs, revisões de OKR), com no mínimo quatro indicadores: (1) número de iniciativas em produção, (2) valor financeiro atribuído (usando metodologia de atribuição acordada), (3) nível de reutilização de soluções compartilhadas e (4) satisfação dos usuários internos com as ferramentas de IA. Esses scorecards devem ser apresentados pelo líder de cada BU — não pelo time de IA central — o que cria accountability de negócio genuíno e endereça estruturalmente [Q2]. </w:t>
      </w:r>
      <w:r>
        <w:rPr>
          <w:rStyle w:val="Forte"/>
          <w:rFonts w:ascii="Calibri" w:hAnsi="Calibri" w:cs="Calibri"/>
          <w:color w:val="1E293B"/>
          <w:sz w:val="22"/>
          <w:szCs w:val="22"/>
        </w:rPr>
        <w:t>Referência Playbook Atlas</w:t>
      </w:r>
      <w:r>
        <w:rPr>
          <w:rFonts w:ascii="Calibri" w:hAnsi="Calibri" w:cs="Calibri"/>
          <w:color w:val="1E293B"/>
          <w:sz w:val="22"/>
          <w:szCs w:val="22"/>
        </w:rPr>
        <w:t xml:space="preserve">: </w:t>
      </w:r>
      <w:r>
        <w:rPr>
          <w:rStyle w:val="nfase"/>
          <w:rFonts w:ascii="Calibri" w:hAnsi="Calibri" w:cs="Calibri"/>
          <w:color w:val="1E293B"/>
          <w:sz w:val="22"/>
          <w:szCs w:val="22"/>
        </w:rPr>
        <w:t>AI Performance Dashboard Blueprint</w:t>
      </w:r>
      <w:r>
        <w:rPr>
          <w:rFonts w:ascii="Calibri" w:hAnsi="Calibri" w:cs="Calibri"/>
          <w:color w:val="1E293B"/>
          <w:sz w:val="22"/>
          <w:szCs w:val="22"/>
        </w:rPr>
        <w:t xml:space="preserve"> + </w:t>
      </w:r>
      <w:r>
        <w:rPr>
          <w:rStyle w:val="nfase"/>
          <w:rFonts w:ascii="Calibri" w:hAnsi="Calibri" w:cs="Calibri"/>
          <w:color w:val="1E293B"/>
          <w:sz w:val="22"/>
          <w:szCs w:val="22"/>
        </w:rPr>
        <w:t>Business-Aligned MLOps Reporting Engine</w:t>
      </w:r>
      <w:r>
        <w:rPr>
          <w:rFonts w:ascii="Calibri" w:hAnsi="Calibri" w:cs="Calibri"/>
          <w:color w:val="1E293B"/>
          <w:sz w:val="22"/>
          <w:szCs w:val="22"/>
        </w:rPr>
        <w:t>.</w:t>
      </w:r>
    </w:p>
    <w:p w14:paraId="3C0C85A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DC7F73A">
          <v:rect id="_x0000_i1107" alt="" style="width:425.2pt;height:.05pt;mso-width-percent:0;mso-height-percent:0;mso-width-percent:0;mso-height-percent:0" o:hralign="center" o:hrstd="t" o:hr="t" fillcolor="#a0a0a0" stroked="f"/>
        </w:pict>
      </w:r>
    </w:p>
    <w:p w14:paraId="4770D0BB"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3.9.6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254"/>
        <w:gridCol w:w="1655"/>
        <w:gridCol w:w="2401"/>
        <w:gridCol w:w="2178"/>
      </w:tblGrid>
      <w:tr w:rsidR="00000000" w14:paraId="05CAA28C" w14:textId="77777777">
        <w:trPr>
          <w:divId w:val="42877284"/>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E04671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9F35F9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8A7820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D33C2F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610FD135" w14:textId="77777777">
        <w:trPr>
          <w:divId w:val="4287728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9CA862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BUs com AI Value Canvas formalizado e owner designado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989C0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(estimado — sem registro 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B117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 das BUs mapeadas e com owner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E1FF6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das BUs com Canvas revisado ao menos 1x</w:t>
            </w:r>
          </w:p>
        </w:tc>
      </w:tr>
      <w:tr w:rsidR="00000000" w14:paraId="2941CCE2" w14:textId="77777777">
        <w:trPr>
          <w:divId w:val="4287728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6D9C05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Número de iniciativas de IA com métrica de valor específica por BU</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B4742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3 iniciativas com KPI de negócio definido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D94FB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8–10 iniciativas com KPI mensurável e baseline estabelecido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D30A6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das iniciativas em produção com KPI de negócio ativo</w:t>
            </w:r>
          </w:p>
        </w:tc>
      </w:tr>
      <w:tr w:rsidR="00000000" w14:paraId="773554B0" w14:textId="77777777">
        <w:trPr>
          <w:divId w:val="4287728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5DC2E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do budget de IA alocado via AI Investment Scoring (vs. alocação informal)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0C139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(decisão ad hoc)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E57FCE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 do budget de IA priorizado via scoring 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08E89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80% do budget alocado via modelo de scoring cross-BU</w:t>
            </w:r>
          </w:p>
        </w:tc>
      </w:tr>
      <w:tr w:rsidR="00000000" w14:paraId="63968874" w14:textId="77777777">
        <w:trPr>
          <w:divId w:val="4287728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FED35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reutilização de soluções de IA entre BUs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FF332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 (trocas informais)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5B65D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 das iniciativas novas reutilizando ao menos 1 componente do marketplace interno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5EEC2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das iniciativas com componente reutilizado documentado</w:t>
            </w:r>
          </w:p>
        </w:tc>
      </w:tr>
      <w:tr w:rsidR="00000000" w14:paraId="24C786D5" w14:textId="77777777">
        <w:trPr>
          <w:divId w:val="4287728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FDC6C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médio da dimensão "Valor por Unidade de Negócio" na próxima rodada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BE69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2.06</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EF89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 (crescimento de +0.54 em 6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6FE5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3.0 (alinhamento progressivo ao benchmark setorial de 3.5)</w:t>
            </w:r>
          </w:p>
        </w:tc>
      </w:tr>
    </w:tbl>
    <w:p w14:paraId="158C5CF8"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3.10 Dimensão — Talentos e Capacidades — Score 2.10 · Nível 2</w:t>
      </w:r>
    </w:p>
    <w:p w14:paraId="44D7436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3.10.1 Análise Diagnóstica</w:t>
      </w:r>
    </w:p>
    <w:p w14:paraId="1142825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consolidado desta dimensão — calculado sobre oito vetores que vão da contabilização dos profissionais até a retenção — revela uma lacuna sistêmica entre a ambição declarada de IA da Empresa Teste Maturidade IA e a base humana capaz de sustentá-la. Com a única exceção de [Q8] (turnover, 3.11), todos os indicadores ficam abaixo de 2.40, o que no MIT CISR Enterprise AI Maturity Model posiciona a organização solidamente no </w:t>
      </w:r>
      <w:r>
        <w:rPr>
          <w:rStyle w:val="Forte"/>
          <w:rFonts w:ascii="Calibri" w:hAnsi="Calibri" w:cs="Calibri"/>
          <w:color w:val="1E293B"/>
          <w:sz w:val="22"/>
          <w:szCs w:val="22"/>
        </w:rPr>
        <w:t>Estágio 2 — Build Pilots and Capabilities</w:t>
      </w:r>
      <w:r>
        <w:rPr>
          <w:rFonts w:ascii="Calibri" w:hAnsi="Calibri" w:cs="Calibri"/>
          <w:color w:val="1E293B"/>
          <w:sz w:val="22"/>
          <w:szCs w:val="22"/>
        </w:rPr>
        <w:t>: há iniciativas pontuais, alguns papéis emergentes, mas sem a estrutura de workforce de IA que caracteriza o Estágio 3 ("Develop AI Ways of Working"), onde times multidisciplinares operam com product owners de IA, MLOps dedicado e ciclos contínuos de upskilling vinculados a OKRs estratégicos.</w:t>
      </w:r>
    </w:p>
    <w:p w14:paraId="3F8E2F7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Os scores de [Q1] (2.11) e [Q5] (2.11) formam um par revelador: a Empresa Teste Maturidade IA não possui um mapeamento quantitativo robusto de quem são, quantos são e em que nível de senioridade estão os profissionais de IA na casa. Empresas de tecnologia do porte da Empresa Teste Maturidade IA — tipicamente com squads de produto que consomem capacidades de ML, plataformas internas de dados e contratos de serviços gerenciados que demandam engenharia de modelos — precisam saber exatamente onde estão os Data Scientists capazes de colocar modelos em produção versus os que produzem notebooks exploratórios. Sem esse inventário, decisões de alocação são feitas por percepção, gerando sobrecargas em perfis seniores e ociosidade estratégica em júniores. O dado de [Q5] também indica que a pirâmide de senioridade ainda é rasa: há mais peso em pleno/júnior do que em sênior/especialista, o que limita a velocidade de execução de iniciativas mais complexas como fine-tuning de LLMs para automação de código ou construção de pipelines de feature store corporativo.</w:t>
      </w:r>
    </w:p>
    <w:p w14:paraId="4CC00AD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Os scores mais críticos são [Q2] (1.56) e [Q3] (1.67), que revelam ausência de planejamento de força de trabalho orientado ao futuro. Sem uma análise formal de gap entre capacidades atuais e o roadmap de IA dos próximos 18–24 meses — e sem uma política explícita de Build vs. Buy vs. Borrow — a empresa enfrenta dois riscos simultâneos: contratar perfis errados para o momento errado, ou subcontratar capacidades que deveriam ser core. Em empresas de tecnologia, a confusão entre "contratar um Data Scientist" e "fechar um contrato de consultoria de ML" é frequente e cara. O score de [Q6] (1.89) reforça esse padrão: papéis como </w:t>
      </w:r>
      <w:r>
        <w:rPr>
          <w:rStyle w:val="Forte"/>
          <w:rFonts w:ascii="Calibri" w:hAnsi="Calibri" w:cs="Calibri"/>
          <w:color w:val="1E293B"/>
          <w:sz w:val="22"/>
          <w:szCs w:val="22"/>
        </w:rPr>
        <w:t>MLOps Engineer</w:t>
      </w:r>
      <w:r>
        <w:rPr>
          <w:rFonts w:ascii="Calibri" w:hAnsi="Calibri" w:cs="Calibri"/>
          <w:color w:val="1E293B"/>
          <w:sz w:val="22"/>
          <w:szCs w:val="22"/>
        </w:rPr>
        <w:t xml:space="preserve">, </w:t>
      </w:r>
      <w:r>
        <w:rPr>
          <w:rStyle w:val="Forte"/>
          <w:rFonts w:ascii="Calibri" w:hAnsi="Calibri" w:cs="Calibri"/>
          <w:color w:val="1E293B"/>
          <w:sz w:val="22"/>
          <w:szCs w:val="22"/>
        </w:rPr>
        <w:t>AI Product Manager</w:t>
      </w:r>
      <w:r>
        <w:rPr>
          <w:rFonts w:ascii="Calibri" w:hAnsi="Calibri" w:cs="Calibri"/>
          <w:color w:val="1E293B"/>
          <w:sz w:val="22"/>
          <w:szCs w:val="22"/>
        </w:rPr>
        <w:t xml:space="preserve"> e </w:t>
      </w:r>
      <w:r>
        <w:rPr>
          <w:rStyle w:val="Forte"/>
          <w:rFonts w:ascii="Calibri" w:hAnsi="Calibri" w:cs="Calibri"/>
          <w:color w:val="1E293B"/>
          <w:sz w:val="22"/>
          <w:szCs w:val="22"/>
        </w:rPr>
        <w:t>AI Ethics Lead</w:t>
      </w:r>
      <w:r>
        <w:rPr>
          <w:rFonts w:ascii="Calibri" w:hAnsi="Calibri" w:cs="Calibri"/>
          <w:color w:val="1E293B"/>
          <w:sz w:val="22"/>
          <w:szCs w:val="22"/>
        </w:rPr>
        <w:t xml:space="preserve"> — indispensáveis para escalar de pilotos para produção — ainda são marginais ou inexistentes, o que cria gargalos estruturais na entrega e na governança.</w:t>
      </w:r>
    </w:p>
    <w:p w14:paraId="7E6C20A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2FE2C9B">
          <v:rect id="_x0000_i1106" alt="" style="width:425.2pt;height:.05pt;mso-width-percent:0;mso-height-percent:0;mso-width-percent:0;mso-height-percent:0" o:hralign="center" o:hrstd="t" o:hr="t" fillcolor="#a0a0a0" stroked="f"/>
        </w:pict>
      </w:r>
    </w:p>
    <w:p w14:paraId="152CDAD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3.10.2 Evidências Críticas</w:t>
      </w:r>
    </w:p>
    <w:p w14:paraId="74D44AD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w:t>
      </w:r>
    </w:p>
    <w:p w14:paraId="0F47E0B1" w14:textId="77777777" w:rsidR="00000000" w:rsidRDefault="00000000">
      <w:pPr>
        <w:numPr>
          <w:ilvl w:val="0"/>
          <w:numId w:val="2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Gap analysis inexistente (1.56):</w:t>
      </w:r>
      <w:r>
        <w:rPr>
          <w:rFonts w:ascii="Calibri" w:eastAsia="Times New Roman" w:hAnsi="Calibri" w:cs="Calibri"/>
          <w:color w:val="1E293B"/>
          <w:sz w:val="22"/>
          <w:szCs w:val="22"/>
        </w:rPr>
        <w:t xml:space="preserve"> Nenhuma metodologia formal (ex.: skills taxonomy, T-shaped skills map) conecta o plano de IA ao inventário de competências — o gap não é gerenciado, apenas sentido.</w:t>
      </w:r>
    </w:p>
    <w:p w14:paraId="53839DD2" w14:textId="77777777" w:rsidR="00000000" w:rsidRDefault="00000000">
      <w:pPr>
        <w:numPr>
          <w:ilvl w:val="0"/>
          <w:numId w:val="2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Estratégia Build/Buy/Borrow ausente (1.67):</w:t>
      </w:r>
      <w:r>
        <w:rPr>
          <w:rFonts w:ascii="Calibri" w:eastAsia="Times New Roman" w:hAnsi="Calibri" w:cs="Calibri"/>
          <w:color w:val="1E293B"/>
          <w:sz w:val="22"/>
          <w:szCs w:val="22"/>
        </w:rPr>
        <w:t xml:space="preserve"> Decisões de sourcing de talento são ad hoc; não há framework publicado que defina quais capacidades (ex.: MLOps, GenAI engineering) devem ser internalizado versus terceirizadas via parceiros ou plataformas.</w:t>
      </w:r>
    </w:p>
    <w:p w14:paraId="7B4A71FA" w14:textId="77777777" w:rsidR="00000000" w:rsidRDefault="00000000">
      <w:pPr>
        <w:numPr>
          <w:ilvl w:val="0"/>
          <w:numId w:val="2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Papéis especializados sub-representados (1.89):</w:t>
      </w:r>
      <w:r>
        <w:rPr>
          <w:rFonts w:ascii="Calibri" w:eastAsia="Times New Roman" w:hAnsi="Calibri" w:cs="Calibri"/>
          <w:color w:val="1E293B"/>
          <w:sz w:val="22"/>
          <w:szCs w:val="22"/>
        </w:rPr>
        <w:t xml:space="preserve"> MLOps Engineers, AI Product Managers e AI Ethics Officers aparecem de forma esparsa ou informal; não há JDs (job descriptions) formais nem trilhas de carreira para esses papéis.</w:t>
      </w:r>
    </w:p>
    <w:p w14:paraId="72038B37" w14:textId="77777777" w:rsidR="00000000" w:rsidRDefault="00000000">
      <w:pPr>
        <w:numPr>
          <w:ilvl w:val="0"/>
          <w:numId w:val="2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Inventário de talentos superficial (2.11):</w:t>
      </w:r>
      <w:r>
        <w:rPr>
          <w:rFonts w:ascii="Calibri" w:eastAsia="Times New Roman" w:hAnsi="Calibri" w:cs="Calibri"/>
          <w:color w:val="1E293B"/>
          <w:sz w:val="22"/>
          <w:szCs w:val="22"/>
        </w:rPr>
        <w:t xml:space="preserve"> O mapeamento existente tende a ser quantitativo-nominal (headcount) sem dimensão qualitativa de proficiência, nível de senioridade real ou especialização técnica (NLP, CV, RL, etc.).</w:t>
      </w:r>
    </w:p>
    <w:p w14:paraId="0D009F84" w14:textId="77777777" w:rsidR="00000000" w:rsidRDefault="00000000">
      <w:pPr>
        <w:numPr>
          <w:ilvl w:val="0"/>
          <w:numId w:val="2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Pirâmide de senioridade desequilibrada (2.11):</w:t>
      </w:r>
      <w:r>
        <w:rPr>
          <w:rFonts w:ascii="Calibri" w:eastAsia="Times New Roman" w:hAnsi="Calibri" w:cs="Calibri"/>
          <w:color w:val="1E293B"/>
          <w:sz w:val="22"/>
          <w:szCs w:val="22"/>
        </w:rPr>
        <w:t xml:space="preserve"> Concentração em perfis júnior/pleno limita a capacidade de mentoria interna e execução autônoma de projetos de alta complexidade.</w:t>
      </w:r>
    </w:p>
    <w:p w14:paraId="6BF43908" w14:textId="77777777" w:rsidR="00000000" w:rsidRDefault="00000000">
      <w:pPr>
        <w:numPr>
          <w:ilvl w:val="0"/>
          <w:numId w:val="2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[Q7] Ausência de métricas de produtividade (2.00):</w:t>
      </w:r>
      <w:r>
        <w:rPr>
          <w:rFonts w:ascii="Calibri" w:eastAsia="Times New Roman" w:hAnsi="Calibri" w:cs="Calibri"/>
          <w:color w:val="1E293B"/>
          <w:sz w:val="22"/>
          <w:szCs w:val="22"/>
        </w:rPr>
        <w:t xml:space="preserve"> Não há KPIs de equipe consolidados (ex.: lead time de experimento ao deploy, taxa de reutilização de features, número de modelos em produção por engenheiro).</w:t>
      </w:r>
    </w:p>
    <w:p w14:paraId="133CDCF3"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 que sustentou o score acima da média da dimensão:</w:t>
      </w:r>
    </w:p>
    <w:p w14:paraId="20F4FF1E" w14:textId="77777777" w:rsidR="00000000" w:rsidRDefault="00000000">
      <w:pPr>
        <w:numPr>
          <w:ilvl w:val="0"/>
          <w:numId w:val="2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[Q8] Taxa de turnover comparativamente controlada (3.11):</w:t>
      </w:r>
      <w:r>
        <w:rPr>
          <w:rFonts w:ascii="Calibri" w:eastAsia="Times New Roman" w:hAnsi="Calibri" w:cs="Calibri"/>
          <w:color w:val="1E293B"/>
          <w:sz w:val="22"/>
          <w:szCs w:val="22"/>
        </w:rPr>
        <w:t xml:space="preserve"> A retenção relativa ao mercado é o único ponto positivo estrutural — indica que, uma vez dentro da empresa, os profissionais de IA tendem a permanecer; o problema é quem entra, em que nível e com quais competências.</w:t>
      </w:r>
    </w:p>
    <w:p w14:paraId="71EBD52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6D56D60">
          <v:rect id="_x0000_i1105" alt="" style="width:425.2pt;height:.05pt;mso-width-percent:0;mso-height-percent:0;mso-width-percent:0;mso-height-percent:0" o:hralign="center" o:hrstd="t" o:hr="t" fillcolor="#a0a0a0" stroked="f"/>
        </w:pict>
      </w:r>
    </w:p>
    <w:p w14:paraId="7F5CF5E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3.10.3 Risco de Negócio</w:t>
      </w:r>
    </w:p>
    <w:p w14:paraId="2C53B7A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Uma empresa de tecnologia que não sabe sistematicamente </w:t>
      </w:r>
      <w:r>
        <w:rPr>
          <w:rStyle w:val="Forte"/>
          <w:rFonts w:ascii="Calibri" w:hAnsi="Calibri" w:cs="Calibri"/>
          <w:color w:val="1E293B"/>
          <w:sz w:val="22"/>
          <w:szCs w:val="22"/>
        </w:rPr>
        <w:t>quem tem quais capacidades de IA, onde estão os gaps e como endereçá-los</w:t>
      </w:r>
      <w:r>
        <w:rPr>
          <w:rFonts w:ascii="Calibri" w:hAnsi="Calibri" w:cs="Calibri"/>
          <w:color w:val="1E293B"/>
          <w:sz w:val="22"/>
          <w:szCs w:val="22"/>
        </w:rPr>
        <w:t xml:space="preserve"> corre o risco de construir um portfólio de produtos com dependência crítica de dois ou três especialistas-chave não escaláveis — os chamados </w:t>
      </w:r>
      <w:r>
        <w:rPr>
          <w:rStyle w:val="Forte"/>
          <w:rFonts w:ascii="Calibri" w:hAnsi="Calibri" w:cs="Calibri"/>
          <w:color w:val="1E293B"/>
          <w:sz w:val="22"/>
          <w:szCs w:val="22"/>
        </w:rPr>
        <w:t>"bus factor"</w:t>
      </w:r>
      <w:r>
        <w:rPr>
          <w:rFonts w:ascii="Calibri" w:hAnsi="Calibri" w:cs="Calibri"/>
          <w:color w:val="1E293B"/>
          <w:sz w:val="22"/>
          <w:szCs w:val="22"/>
        </w:rPr>
        <w:t xml:space="preserve"> da IA. À medida que a Empresa Teste Maturidade IA escala iniciativas de IA (automação de código, plataformas de dados para clientes, agentes inteligentes), a ausência de MLOps Engineers e AI Product Managers cria gargalos de produção que atrasam go-to-market, geram dívida técnica em pipelines de inferência e aumentam o custo marginal de cada novo modelo entregue. Pior: sem a estratégia Build vs. Buy vs. Borrow formalizada, a empresa pode subcontratar capacidades que deveria internalizar — pagando múltiplas vezes por conhecimento que não se acumula — enquanto tenta recrutar perfis raros (ex.: Engenheiros de LLMOps) que o mercado cobra salários de R$ 25.000–40.000/mês, sem ter a cultura, os processos nem a proposta de valor interna para retê-los.</w:t>
      </w:r>
    </w:p>
    <w:p w14:paraId="22B955D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50DD919">
          <v:rect id="_x0000_i1104" alt="" style="width:425.2pt;height:.05pt;mso-width-percent:0;mso-height-percent:0;mso-width-percent:0;mso-height-percent:0" o:hralign="center" o:hrstd="t" o:hr="t" fillcolor="#a0a0a0" stroked="f"/>
        </w:pict>
      </w:r>
    </w:p>
    <w:p w14:paraId="3B1DE5B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3.10.4 Benchmark Setorial</w:t>
      </w:r>
    </w:p>
    <w:p w14:paraId="0502F04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empresas de porte equivalente à Empresa Teste Maturidade IA que já atingiram o </w:t>
      </w:r>
      <w:r>
        <w:rPr>
          <w:rStyle w:val="Forte"/>
          <w:rFonts w:ascii="Calibri" w:hAnsi="Calibri" w:cs="Calibri"/>
          <w:color w:val="1E293B"/>
          <w:sz w:val="22"/>
          <w:szCs w:val="22"/>
        </w:rPr>
        <w:t>Estágio 3 do MIT CISR</w:t>
      </w:r>
      <w:r>
        <w:rPr>
          <w:rFonts w:ascii="Calibri" w:hAnsi="Calibri" w:cs="Calibri"/>
          <w:color w:val="1E293B"/>
          <w:sz w:val="22"/>
          <w:szCs w:val="22"/>
        </w:rPr>
        <w:t xml:space="preserve"> — como Totvs, CI&amp;T, Stefanini e Grupo Movile em suas verticais de IA — possuem estruturas formalizadas de </w:t>
      </w:r>
      <w:r>
        <w:rPr>
          <w:rStyle w:val="Forte"/>
          <w:rFonts w:ascii="Calibri" w:hAnsi="Calibri" w:cs="Calibri"/>
          <w:color w:val="1E293B"/>
          <w:sz w:val="22"/>
          <w:szCs w:val="22"/>
        </w:rPr>
        <w:t>AI Center of Excellence (CoE)</w:t>
      </w:r>
      <w:r>
        <w:rPr>
          <w:rFonts w:ascii="Calibri" w:hAnsi="Calibri" w:cs="Calibri"/>
          <w:color w:val="1E293B"/>
          <w:sz w:val="22"/>
          <w:szCs w:val="22"/>
        </w:rPr>
        <w:t xml:space="preserve"> com squads especializados por domínio (NLP, MLOps, Responsible AI), programas internos de certificação (ex.: parceiros AWS ML Specialty, Google Professional ML Engineer) e políticas explícitas de sourcing que definem, por exemplo, que LLM fine-tuning é capacidade core (Build), manutenção de infraestrutura de treinamento é parcialmente terceirizada (Borrow via cloud providers) e UI/UX de produtos de IA pode ser comprada via ferramentas SaaS (Buy). A média setorial de 3.5 reflete essa maturidade: equipes multidisciplinares com AI PMs integrados aos squads de produto, métricas de produtividade de IA publicadas em dashboards internos e taxonomias de skills atreladas a planos de desenvolvimento individuais. A Empresa Teste Maturidade IA, com score abaixo de 2.40 em seis dos oito vetores desta dimensão, está operando com pelo menos </w:t>
      </w:r>
      <w:r>
        <w:rPr>
          <w:rStyle w:val="Forte"/>
          <w:rFonts w:ascii="Calibri" w:hAnsi="Calibri" w:cs="Calibri"/>
          <w:color w:val="1E293B"/>
          <w:sz w:val="22"/>
          <w:szCs w:val="22"/>
        </w:rPr>
        <w:t>12–18 meses de defasagem</w:t>
      </w:r>
      <w:r>
        <w:rPr>
          <w:rFonts w:ascii="Calibri" w:hAnsi="Calibri" w:cs="Calibri"/>
          <w:color w:val="1E293B"/>
          <w:sz w:val="22"/>
          <w:szCs w:val="22"/>
        </w:rPr>
        <w:t xml:space="preserve"> em relação a esses benchmarks, o que representa risco concreto de perda de contratos e talentos para concorrentes com propostas de IA mais maduras.</w:t>
      </w:r>
    </w:p>
    <w:p w14:paraId="5CC7C5B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5EC20D9">
          <v:rect id="_x0000_i1103" alt="" style="width:425.2pt;height:.05pt;mso-width-percent:0;mso-height-percent:0;mso-width-percent:0;mso-height-percent:0" o:hralign="center" o:hrstd="t" o:hr="t" fillcolor="#a0a0a0" stroked="f"/>
        </w:pict>
      </w:r>
    </w:p>
    <w:p w14:paraId="76F961C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3.10.5 Recomendações Específicas</w:t>
      </w:r>
    </w:p>
    <w:p w14:paraId="5829477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Construir um Skills Inventory de IA com Taxonomia Estruturada</w:t>
      </w:r>
    </w:p>
    <w:p w14:paraId="42A78C3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Realizar um mapeamento quantitativo e qualitativo de todos os profissionais com função ou afinidade com IA, utilizando uma taxonomia em três camadas: (i) domínio técnico (NLP, Computer Vision, MLOps, Data Engineering, GenAI), (ii) nível de proficiência (awareness / practitioner / expert), (iii) tipo de aplicação (pesquisa, produto, infraestrutura). Ferramentas como o </w:t>
      </w:r>
      <w:r>
        <w:rPr>
          <w:rStyle w:val="Forte"/>
          <w:rFonts w:ascii="Calibri" w:hAnsi="Calibri" w:cs="Calibri"/>
          <w:color w:val="1E293B"/>
          <w:sz w:val="22"/>
          <w:szCs w:val="22"/>
        </w:rPr>
        <w:t>Playbook Atlas — módulo AI Skills Registry</w:t>
      </w:r>
      <w:r>
        <w:rPr>
          <w:rFonts w:ascii="Calibri" w:hAnsi="Calibri" w:cs="Calibri"/>
          <w:color w:val="1E293B"/>
          <w:sz w:val="22"/>
          <w:szCs w:val="22"/>
        </w:rPr>
        <w:t xml:space="preserve"> permitem automatizar coleta via assessments e integrar com HRIS. O output deve ser um "heat map" de capacidades que alimenta diretamente o processo de alocação de squads e os gaps de contratação.</w:t>
      </w:r>
    </w:p>
    <w:p w14:paraId="30BA76EA" w14:textId="77777777" w:rsidR="00000000" w:rsidRDefault="00000000">
      <w:pPr>
        <w:pStyle w:val="NormalWeb"/>
        <w:shd w:val="clear" w:color="auto" w:fill="FAF5FF"/>
        <w:spacing w:before="0" w:beforeAutospacing="0" w:after="120" w:afterAutospacing="0"/>
        <w:divId w:val="1467351098"/>
        <w:rPr>
          <w:rFonts w:ascii="Calibri" w:hAnsi="Calibri" w:cs="Calibri"/>
          <w:i/>
          <w:iCs/>
          <w:color w:val="581C87"/>
          <w:sz w:val="22"/>
          <w:szCs w:val="22"/>
        </w:rPr>
      </w:pPr>
      <w:r>
        <w:rPr>
          <w:rStyle w:val="Forte"/>
          <w:rFonts w:ascii="Calibri" w:hAnsi="Calibri" w:cs="Calibri"/>
          <w:i/>
          <w:iCs/>
          <w:color w:val="581C87"/>
          <w:sz w:val="22"/>
          <w:szCs w:val="22"/>
        </w:rPr>
        <w:t>KPI vinculado:</w:t>
      </w:r>
      <w:r>
        <w:rPr>
          <w:rFonts w:ascii="Calibri" w:hAnsi="Calibri" w:cs="Calibri"/>
          <w:i/>
          <w:iCs/>
          <w:color w:val="581C87"/>
          <w:sz w:val="22"/>
          <w:szCs w:val="22"/>
        </w:rPr>
        <w:t xml:space="preserve"> % de profissionais com perfil de IA catalogado e validado por gestor — meta: 100% em 6 meses.</w:t>
      </w:r>
    </w:p>
    <w:p w14:paraId="7C70C88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Publicar e Operacionalizar a Política Build vs. Buy vs. Borrow para Talentos de IA</w:t>
      </w:r>
    </w:p>
    <w:p w14:paraId="0DCA7F0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Desenvolver, em workshop com Tech Leaders e CHO, uma matriz de decisão que classifique cada capacidade de IA em "core/diferenciadora" (Build interno), "aceleradora com curva curta" (Borrow via parceiros ou contractors) ou "commodity" (Buy via SaaS/ferramentas). A matriz deve ser revisada semestralmente com base no roadmap de produto. O </w:t>
      </w:r>
      <w:r>
        <w:rPr>
          <w:rStyle w:val="Forte"/>
          <w:rFonts w:ascii="Calibri" w:hAnsi="Calibri" w:cs="Calibri"/>
          <w:color w:val="1E293B"/>
          <w:sz w:val="22"/>
          <w:szCs w:val="22"/>
        </w:rPr>
        <w:t>Playbook Atlas — AI Talent Sourcing Blueprint</w:t>
      </w:r>
      <w:r>
        <w:rPr>
          <w:rFonts w:ascii="Calibri" w:hAnsi="Calibri" w:cs="Calibri"/>
          <w:color w:val="1E293B"/>
          <w:sz w:val="22"/>
          <w:szCs w:val="22"/>
        </w:rPr>
        <w:t xml:space="preserve"> oferece templates de decisão alinhados a benchmarks de custo por perfil no mercado brasileiro de tech. Um exemplo imediato: MLOps Engineering e AI Product Management devem ser classificados como "Build com urgência", enquanto rotulagem de dados pode ser "Borrow via crowdsourcing gerenciado".</w:t>
      </w:r>
    </w:p>
    <w:p w14:paraId="2C77CCB1" w14:textId="77777777" w:rsidR="00000000" w:rsidRDefault="00000000">
      <w:pPr>
        <w:pStyle w:val="NormalWeb"/>
        <w:shd w:val="clear" w:color="auto" w:fill="FAF5FF"/>
        <w:spacing w:before="0" w:beforeAutospacing="0" w:after="120" w:afterAutospacing="0"/>
        <w:divId w:val="1052776434"/>
        <w:rPr>
          <w:rFonts w:ascii="Calibri" w:hAnsi="Calibri" w:cs="Calibri"/>
          <w:i/>
          <w:iCs/>
          <w:color w:val="581C87"/>
          <w:sz w:val="22"/>
          <w:szCs w:val="22"/>
        </w:rPr>
      </w:pPr>
      <w:r>
        <w:rPr>
          <w:rStyle w:val="Forte"/>
          <w:rFonts w:ascii="Calibri" w:hAnsi="Calibri" w:cs="Calibri"/>
          <w:i/>
          <w:iCs/>
          <w:color w:val="581C87"/>
          <w:sz w:val="22"/>
          <w:szCs w:val="22"/>
        </w:rPr>
        <w:t>KPI vinculado:</w:t>
      </w:r>
      <w:r>
        <w:rPr>
          <w:rFonts w:ascii="Calibri" w:hAnsi="Calibri" w:cs="Calibri"/>
          <w:i/>
          <w:iCs/>
          <w:color w:val="581C87"/>
          <w:sz w:val="22"/>
          <w:szCs w:val="22"/>
        </w:rPr>
        <w:t xml:space="preserve"> % de iniciativas de IA no roadmap com sourcing de talento formalizado na política B/B/B — meta: 80% em 12 meses.</w:t>
      </w:r>
    </w:p>
    <w:p w14:paraId="0AF46F0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Estruturar o Programa de Upskilling com Trilhas por Persona e OKR Atrelado</w:t>
      </w:r>
    </w:p>
    <w:p w14:paraId="5E54396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Converter o programa de upskilling/reskilling atual (score [Q4] = 2.33, o segundo mais alto da dimensão) em um programa estruturado com trilhas distintas por persona: (a) </w:t>
      </w:r>
      <w:r>
        <w:rPr>
          <w:rStyle w:val="Forte"/>
          <w:rFonts w:ascii="Calibri" w:hAnsi="Calibri" w:cs="Calibri"/>
          <w:color w:val="1E293B"/>
          <w:sz w:val="22"/>
          <w:szCs w:val="22"/>
        </w:rPr>
        <w:t>AI-Aware</w:t>
      </w:r>
      <w:r>
        <w:rPr>
          <w:rFonts w:ascii="Calibri" w:hAnsi="Calibri" w:cs="Calibri"/>
          <w:color w:val="1E293B"/>
          <w:sz w:val="22"/>
          <w:szCs w:val="22"/>
        </w:rPr>
        <w:t xml:space="preserve"> para líderes de negócio, (b) </w:t>
      </w:r>
      <w:r>
        <w:rPr>
          <w:rStyle w:val="Forte"/>
          <w:rFonts w:ascii="Calibri" w:hAnsi="Calibri" w:cs="Calibri"/>
          <w:color w:val="1E293B"/>
          <w:sz w:val="22"/>
          <w:szCs w:val="22"/>
        </w:rPr>
        <w:t>AI Practitioner</w:t>
      </w:r>
      <w:r>
        <w:rPr>
          <w:rFonts w:ascii="Calibri" w:hAnsi="Calibri" w:cs="Calibri"/>
          <w:color w:val="1E293B"/>
          <w:sz w:val="22"/>
          <w:szCs w:val="22"/>
        </w:rPr>
        <w:t xml:space="preserve"> para engenheiros de software que precisam consumir APIs de ML, (c) </w:t>
      </w:r>
      <w:r>
        <w:rPr>
          <w:rStyle w:val="Forte"/>
          <w:rFonts w:ascii="Calibri" w:hAnsi="Calibri" w:cs="Calibri"/>
          <w:color w:val="1E293B"/>
          <w:sz w:val="22"/>
          <w:szCs w:val="22"/>
        </w:rPr>
        <w:t>AI Builder</w:t>
      </w:r>
      <w:r>
        <w:rPr>
          <w:rFonts w:ascii="Calibri" w:hAnsi="Calibri" w:cs="Calibri"/>
          <w:color w:val="1E293B"/>
          <w:sz w:val="22"/>
          <w:szCs w:val="22"/>
        </w:rPr>
        <w:t xml:space="preserve"> para Data Scientists e ML Engineers que constroem modelos, (d) </w:t>
      </w:r>
      <w:r>
        <w:rPr>
          <w:rStyle w:val="Forte"/>
          <w:rFonts w:ascii="Calibri" w:hAnsi="Calibri" w:cs="Calibri"/>
          <w:color w:val="1E293B"/>
          <w:sz w:val="22"/>
          <w:szCs w:val="22"/>
        </w:rPr>
        <w:t>AI Scaler</w:t>
      </w:r>
      <w:r>
        <w:rPr>
          <w:rFonts w:ascii="Calibri" w:hAnsi="Calibri" w:cs="Calibri"/>
          <w:color w:val="1E293B"/>
          <w:sz w:val="22"/>
          <w:szCs w:val="22"/>
        </w:rPr>
        <w:t xml:space="preserve"> para MLOps e AI PMs. Cada trilha deve ter certificação interna com badge digital (via plataformas como Credly) e estar vinculada a critérios de progressão de carreira e bônus de performance. Referenciar o framework </w:t>
      </w:r>
      <w:r>
        <w:rPr>
          <w:rStyle w:val="Forte"/>
          <w:rFonts w:ascii="Calibri" w:hAnsi="Calibri" w:cs="Calibri"/>
          <w:color w:val="1E293B"/>
          <w:sz w:val="22"/>
          <w:szCs w:val="22"/>
        </w:rPr>
        <w:t>DORA Metrics adaptado a ML</w:t>
      </w:r>
      <w:r>
        <w:rPr>
          <w:rFonts w:ascii="Calibri" w:hAnsi="Calibri" w:cs="Calibri"/>
          <w:color w:val="1E293B"/>
          <w:sz w:val="22"/>
          <w:szCs w:val="22"/>
        </w:rPr>
        <w:t xml:space="preserve"> para medir aceleração de entrega após upskilling.</w:t>
      </w:r>
    </w:p>
    <w:p w14:paraId="602A3646" w14:textId="77777777" w:rsidR="00000000" w:rsidRDefault="00000000">
      <w:pPr>
        <w:pStyle w:val="NormalWeb"/>
        <w:shd w:val="clear" w:color="auto" w:fill="FAF5FF"/>
        <w:spacing w:before="0" w:beforeAutospacing="0" w:after="120" w:afterAutospacing="0"/>
        <w:divId w:val="720712845"/>
        <w:rPr>
          <w:rFonts w:ascii="Calibri" w:hAnsi="Calibri" w:cs="Calibri"/>
          <w:i/>
          <w:iCs/>
          <w:color w:val="581C87"/>
          <w:sz w:val="22"/>
          <w:szCs w:val="22"/>
        </w:rPr>
      </w:pPr>
      <w:r>
        <w:rPr>
          <w:rStyle w:val="Forte"/>
          <w:rFonts w:ascii="Calibri" w:hAnsi="Calibri" w:cs="Calibri"/>
          <w:i/>
          <w:iCs/>
          <w:color w:val="581C87"/>
          <w:sz w:val="22"/>
          <w:szCs w:val="22"/>
        </w:rPr>
        <w:t>KPI vinculado:</w:t>
      </w:r>
      <w:r>
        <w:rPr>
          <w:rFonts w:ascii="Calibri" w:hAnsi="Calibri" w:cs="Calibri"/>
          <w:i/>
          <w:iCs/>
          <w:color w:val="581C87"/>
          <w:sz w:val="22"/>
          <w:szCs w:val="22"/>
        </w:rPr>
        <w:t xml:space="preserve"> % de colaboradores com função IA que completaram trilha adequada à sua persona — meta: 40% em 6m, 75% em 12m.</w:t>
      </w:r>
    </w:p>
    <w:p w14:paraId="4E70F4D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Criar Papéis Formais de MLOps Engineer e AI Product Manager com JDs e Trilhas de Carreira</w:t>
      </w:r>
    </w:p>
    <w:p w14:paraId="5E6CEA8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Formalizar no organograma os papéis de </w:t>
      </w:r>
      <w:r>
        <w:rPr>
          <w:rStyle w:val="Forte"/>
          <w:rFonts w:ascii="Calibri" w:hAnsi="Calibri" w:cs="Calibri"/>
          <w:color w:val="1E293B"/>
          <w:sz w:val="22"/>
          <w:szCs w:val="22"/>
        </w:rPr>
        <w:t>MLOps Engineer</w:t>
      </w:r>
      <w:r>
        <w:rPr>
          <w:rFonts w:ascii="Calibri" w:hAnsi="Calibri" w:cs="Calibri"/>
          <w:color w:val="1E293B"/>
          <w:sz w:val="22"/>
          <w:szCs w:val="22"/>
        </w:rPr>
        <w:t xml:space="preserve"> (responsável por CI/CD de modelos, monitoramento de drift, infraestrutura de inferência), </w:t>
      </w:r>
      <w:r>
        <w:rPr>
          <w:rStyle w:val="Forte"/>
          <w:rFonts w:ascii="Calibri" w:hAnsi="Calibri" w:cs="Calibri"/>
          <w:color w:val="1E293B"/>
          <w:sz w:val="22"/>
          <w:szCs w:val="22"/>
        </w:rPr>
        <w:t>AI Product Manager</w:t>
      </w:r>
      <w:r>
        <w:rPr>
          <w:rFonts w:ascii="Calibri" w:hAnsi="Calibri" w:cs="Calibri"/>
          <w:color w:val="1E293B"/>
          <w:sz w:val="22"/>
          <w:szCs w:val="22"/>
        </w:rPr>
        <w:t xml:space="preserve"> (responsável pela ponte entre capacidade técnica e valor de negócio) e, a médio prazo, </w:t>
      </w:r>
      <w:r>
        <w:rPr>
          <w:rStyle w:val="Forte"/>
          <w:rFonts w:ascii="Calibri" w:hAnsi="Calibri" w:cs="Calibri"/>
          <w:color w:val="1E293B"/>
          <w:sz w:val="22"/>
          <w:szCs w:val="22"/>
        </w:rPr>
        <w:t>AI Ethics/Responsible AI Lead</w:t>
      </w:r>
      <w:r>
        <w:rPr>
          <w:rFonts w:ascii="Calibri" w:hAnsi="Calibri" w:cs="Calibri"/>
          <w:color w:val="1E293B"/>
          <w:sz w:val="22"/>
          <w:szCs w:val="22"/>
        </w:rPr>
        <w:t xml:space="preserve"> (alinhado ao NIST AI RMF). Publicar JDs com competências técnicas e comportamentais, nível salarial de mercado (referências: pesquisas Glassdoor Tech BR, State of Data Brazil 2024) e plano de carreira de 18–36 meses. O </w:t>
      </w:r>
      <w:r>
        <w:rPr>
          <w:rStyle w:val="Forte"/>
          <w:rFonts w:ascii="Calibri" w:hAnsi="Calibri" w:cs="Calibri"/>
          <w:color w:val="1E293B"/>
          <w:sz w:val="22"/>
          <w:szCs w:val="22"/>
        </w:rPr>
        <w:t>Playbook Atlas — AI Roles Architecture</w:t>
      </w:r>
      <w:r>
        <w:rPr>
          <w:rFonts w:ascii="Calibri" w:hAnsi="Calibri" w:cs="Calibri"/>
          <w:color w:val="1E293B"/>
          <w:sz w:val="22"/>
          <w:szCs w:val="22"/>
        </w:rPr>
        <w:t xml:space="preserve"> oferece templates de JD e frameworks de competência para cada papel.</w:t>
      </w:r>
    </w:p>
    <w:p w14:paraId="136D95B5" w14:textId="77777777" w:rsidR="00000000" w:rsidRDefault="00000000">
      <w:pPr>
        <w:pStyle w:val="NormalWeb"/>
        <w:shd w:val="clear" w:color="auto" w:fill="FAF5FF"/>
        <w:spacing w:before="0" w:beforeAutospacing="0" w:after="120" w:afterAutospacing="0"/>
        <w:divId w:val="734427830"/>
        <w:rPr>
          <w:rFonts w:ascii="Calibri" w:hAnsi="Calibri" w:cs="Calibri"/>
          <w:i/>
          <w:iCs/>
          <w:color w:val="581C87"/>
          <w:sz w:val="22"/>
          <w:szCs w:val="22"/>
        </w:rPr>
      </w:pPr>
      <w:r>
        <w:rPr>
          <w:rStyle w:val="Forte"/>
          <w:rFonts w:ascii="Calibri" w:hAnsi="Calibri" w:cs="Calibri"/>
          <w:i/>
          <w:iCs/>
          <w:color w:val="581C87"/>
          <w:sz w:val="22"/>
          <w:szCs w:val="22"/>
        </w:rPr>
        <w:t>KPI vinculado:</w:t>
      </w:r>
      <w:r>
        <w:rPr>
          <w:rFonts w:ascii="Calibri" w:hAnsi="Calibri" w:cs="Calibri"/>
          <w:i/>
          <w:iCs/>
          <w:color w:val="581C87"/>
          <w:sz w:val="22"/>
          <w:szCs w:val="22"/>
        </w:rPr>
        <w:t xml:space="preserve"> Número de papéis especializados de IA formalizados e ocupados (MLOps, AI PM, Ethics) — baseline: ~1–2; meta 6m: 4; meta 12m: 7.</w:t>
      </w:r>
    </w:p>
    <w:p w14:paraId="6E150CB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919610C">
          <v:rect id="_x0000_i1102" alt="" style="width:425.2pt;height:.05pt;mso-width-percent:0;mso-height-percent:0;mso-width-percent:0;mso-height-percent:0" o:hralign="center" o:hrstd="t" o:hr="t" fillcolor="#a0a0a0" stroked="f"/>
        </w:pict>
      </w:r>
    </w:p>
    <w:p w14:paraId="389642D1"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3.10.6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3265"/>
        <w:gridCol w:w="2258"/>
        <w:gridCol w:w="1479"/>
        <w:gridCol w:w="1486"/>
      </w:tblGrid>
      <w:tr w:rsidR="00000000" w14:paraId="17181BE3" w14:textId="77777777">
        <w:trPr>
          <w:divId w:val="1038047336"/>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78E208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2826AE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04CF36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3232A3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35E6CE6A" w14:textId="77777777">
        <w:trPr>
          <w:divId w:val="103804733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2F29E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profissionais de IA com perfil catalogado em taxonomia estruturada (domínio × proficiência × aplicação)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0B354B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~20–30% (estimado, dado score [Q1] = 2.11)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C6E4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B4735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w:t>
            </w:r>
          </w:p>
        </w:tc>
      </w:tr>
      <w:tr w:rsidR="00000000" w14:paraId="23E5B7BC" w14:textId="77777777">
        <w:trPr>
          <w:divId w:val="103804733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289780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iniciativas de IA com sourcing formalizado via política Build/Buy/Borrow</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ECF3F6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&lt;15% (dado score [Q3] = 1.67)</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FBFFA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EE88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80%</w:t>
            </w:r>
          </w:p>
        </w:tc>
      </w:tr>
      <w:tr w:rsidR="00000000" w14:paraId="4874F443" w14:textId="77777777">
        <w:trPr>
          <w:divId w:val="103804733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C661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Número de papéis especializados de IA formalizados e ocupados (MLOps Eng, AI PM, AI Ethics, Feature Eng)</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9504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 papéis informais (score [Q6] = 1.89)</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CAD0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 papéis com JD publicado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B1938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 papéis ativos com trilha de carreira</w:t>
            </w:r>
          </w:p>
        </w:tc>
      </w:tr>
      <w:tr w:rsidR="00000000" w14:paraId="6BB090A5" w14:textId="77777777">
        <w:trPr>
          <w:divId w:val="103804733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9CB88D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colaboradores com função IA que completaram trilha de upskilling adequada à sua persona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4DFD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 (score [Q4] = 2.33, programa parcial)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F8280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D23A6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75%</w:t>
            </w:r>
          </w:p>
        </w:tc>
      </w:tr>
      <w:tr w:rsidR="00000000" w14:paraId="433C0036" w14:textId="77777777">
        <w:trPr>
          <w:divId w:val="103804733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AA099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Taxa de turnover da equipe de IA (anualizada) vs. benchmark mercado tech BR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3FE00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~18–22% — acima da média tech (score [Q8] = 3.11 indica controle relativo)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81EF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D804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w:t>
            </w:r>
          </w:p>
        </w:tc>
      </w:tr>
    </w:tbl>
    <w:p w14:paraId="6FE1011D"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3.11 Dimensão — Conformidade Regulatória — Score 1.58 · Nível 2</w:t>
      </w:r>
    </w:p>
    <w:p w14:paraId="25F4AC2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3.11.1 Análise Diagnóstica</w:t>
      </w:r>
    </w:p>
    <w:p w14:paraId="367CF5F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agregado de </w:t>
      </w:r>
      <w:r>
        <w:rPr>
          <w:rStyle w:val="Forte"/>
          <w:rFonts w:ascii="Calibri" w:hAnsi="Calibri" w:cs="Calibri"/>
          <w:color w:val="1E293B"/>
          <w:sz w:val="22"/>
          <w:szCs w:val="22"/>
        </w:rPr>
        <w:t>1.57</w:t>
      </w:r>
      <w:r>
        <w:rPr>
          <w:rFonts w:ascii="Calibri" w:hAnsi="Calibri" w:cs="Calibri"/>
          <w:color w:val="1E293B"/>
          <w:sz w:val="22"/>
          <w:szCs w:val="22"/>
        </w:rPr>
        <w:t xml:space="preserve"> na dimensão de Conformidade Regulatória posiciona a Empresa Teste Maturidade IA no patamar mais crítico de toda a avaliação — substancialmente abaixo do seu próprio score geral (2.31) e mais de dois pontos aquém da média do setor tech (3.5). No modelo MIT CISR, organizações nesse nível estão firmemente no </w:t>
      </w:r>
      <w:r>
        <w:rPr>
          <w:rStyle w:val="Forte"/>
          <w:rFonts w:ascii="Calibri" w:hAnsi="Calibri" w:cs="Calibri"/>
          <w:color w:val="1E293B"/>
          <w:sz w:val="22"/>
          <w:szCs w:val="22"/>
        </w:rPr>
        <w:t>Estágio 1 (Experiment and Prepare)</w:t>
      </w:r>
      <w:r>
        <w:rPr>
          <w:rFonts w:ascii="Calibri" w:hAnsi="Calibri" w:cs="Calibri"/>
          <w:color w:val="1E293B"/>
          <w:sz w:val="22"/>
          <w:szCs w:val="22"/>
        </w:rPr>
        <w:t xml:space="preserve"> no que tange à governança regulatória de IA: iniciativas existem de forma pontual e reativa, sem estrutura sistêmica que garanta continuidade ou rastreabilidade. O padrão de respostas revela que a empresa ainda não tratou compliance de IA como disciplina autônoma — ele é percebido, quando muito, como extensão informal das práticas de TI ou jurídico tradicional, sem frameworks específicos para o ambiente algorítmico.</w:t>
      </w:r>
    </w:p>
    <w:p w14:paraId="72F4B52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A leitura por questão é reveladora de um colapso em camadas: [Q1] (mapeamento de regulações aplicáveis, score 2.0) indica que existe algum reconhecimento de que há normas relevantes, mas sem inventário formal ou proprietário dos dispositivos que incidem sobre cada tipo de modelo ou uso de dados. [Q2] (conformidade documentada com LGPD/GDPR em projetos de IA, score 1.67) e [Q3] (regulações setoriais, score 1.83) mostram que, mesmo onde a legislação já está vigente e sancionada — como a Lei 13.709/2018 — os artefatos de conformidade não são produzidos sistematicamente por projeto: não há Data Protection Impact Assessments (DPIAs) padronizados, cláusulas contratuais de processamento automatizado ou registros de finalidade de uso de dados pessoais em pipelines de ML. Para uma empresa de tecnologia que desenvolve ou opera soluções de IA para clientes em setores como financeiro, saúde e varejo, essa lacuna é especialmente grave — pois a responsabilidade do operador de dados pode ser imputada à Empresa Teste Maturidade IA em contratos de serviço.</w:t>
      </w:r>
    </w:p>
    <w:p w14:paraId="30D5C03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Os scores mais baixos concentram-se exatamente nas frentes com maior velocidade regulatória e potencial de autuação: [Q4] (preparação para EU AI Act e regulações de algoritmos, score 1.4), [Q6] (processos de auditoria de conformidade, score 1.33), [Q7] (gestão de riscos regulatórios com planos de mitigação, score 1.17) e [Q8] (capacitação e envolvimento da área jurídica/compliance, score 1.33). A combinação de [Q7] e [Q8] é particularmente sintomática: sem juristas capacitados em IA e sem planos de mitigação documentados, qualquer incidente regulatório — uma notificação da ANPD, uma solicitação de explicação de decisão automatizada por cliente final ou uma due diligence de M&amp;A — encontrará a organização sem evidências de due diligence regulatória. O [Q5] (explicabilidade e transparência dos modelos, score 1.83), embora não seja o mais baixo, fecha o diagnóstico: sem documentação de explainability, a empresa não consegue nem mesmo responder à pergunta mais básica que qualquer regulador ou cliente corporativo fará — "como esse modelo toma decisões que afetam pessoas?"</w:t>
      </w:r>
    </w:p>
    <w:p w14:paraId="133C5A0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F5D78C4">
          <v:rect id="_x0000_i1101" alt="" style="width:425.2pt;height:.05pt;mso-width-percent:0;mso-height-percent:0;mso-width-percent:0;mso-height-percent:0" o:hralign="center" o:hrstd="t" o:hr="t" fillcolor="#a0a0a0" stroked="f"/>
        </w:pict>
      </w:r>
    </w:p>
    <w:p w14:paraId="0D57443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3.11.2 Evidências Críticas</w:t>
      </w:r>
    </w:p>
    <w:p w14:paraId="67DFF0B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deprimiram o score:</w:t>
      </w:r>
    </w:p>
    <w:p w14:paraId="1523031D" w14:textId="77777777" w:rsidR="00000000" w:rsidRDefault="00000000">
      <w:pPr>
        <w:numPr>
          <w:ilvl w:val="0"/>
          <w:numId w:val="3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[Q7] Gestão de riscos regulatórios com planos de mitigação documentados → 1.17</w:t>
      </w:r>
      <w:r>
        <w:rPr>
          <w:rFonts w:ascii="Calibri" w:eastAsia="Times New Roman" w:hAnsi="Calibri" w:cs="Calibri"/>
          <w:color w:val="1E293B"/>
          <w:sz w:val="22"/>
          <w:szCs w:val="22"/>
        </w:rPr>
        <w:t xml:space="preserve"> — O score mais baixo da dimensão. Indica ausência quase total de risk registers específicos para IA, sem categorização de risco regulatório por tipo de modelo (preditivo, generativo, de decisão automatizada). Sem esse artefato, qualquer resposta a incidente é ad hoc.</w:t>
      </w:r>
    </w:p>
    <w:p w14:paraId="7B3B2674" w14:textId="77777777" w:rsidR="00000000" w:rsidRDefault="00000000">
      <w:pPr>
        <w:numPr>
          <w:ilvl w:val="0"/>
          <w:numId w:val="3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Processos de auditoria de conformidade regulatória em IA → 1.33</w:t>
      </w:r>
      <w:r>
        <w:rPr>
          <w:rFonts w:ascii="Calibri" w:eastAsia="Times New Roman" w:hAnsi="Calibri" w:cs="Calibri"/>
          <w:color w:val="1E293B"/>
          <w:sz w:val="22"/>
          <w:szCs w:val="22"/>
        </w:rPr>
        <w:t xml:space="preserve"> — Não há ciclos de auditoria periódica (nem interna nem por terceiros) que verifiquem aderência de modelos em produção às normas vigentes. Em empresas tech de porte equivalente que processam dados de clientes B2B, auditorias semestrais já são prática padrão de contrato.</w:t>
      </w:r>
    </w:p>
    <w:p w14:paraId="273F35D1" w14:textId="77777777" w:rsidR="00000000" w:rsidRDefault="00000000">
      <w:pPr>
        <w:numPr>
          <w:ilvl w:val="0"/>
          <w:numId w:val="3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[Q8] Área jurídica/compliance capacitada e envolvida → 1.33</w:t>
      </w:r>
      <w:r>
        <w:rPr>
          <w:rFonts w:ascii="Calibri" w:eastAsia="Times New Roman" w:hAnsi="Calibri" w:cs="Calibri"/>
          <w:color w:val="1E293B"/>
          <w:sz w:val="22"/>
          <w:szCs w:val="22"/>
        </w:rPr>
        <w:t xml:space="preserve"> — O jurídico opera no modelo tradicional de revisão contratual; não há advogados com formação específica em direito algorítmico, nem participação estruturada de compliance nos rituais de desenvolvimento (design reviews, model cards, aprovações de deploy).</w:t>
      </w:r>
    </w:p>
    <w:p w14:paraId="3F004833" w14:textId="77777777" w:rsidR="00000000" w:rsidRDefault="00000000">
      <w:pPr>
        <w:numPr>
          <w:ilvl w:val="0"/>
          <w:numId w:val="3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Preparação para regulações emergentes (EU AI Act, regulações de algoritmos) → 1.40</w:t>
      </w:r>
      <w:r>
        <w:rPr>
          <w:rFonts w:ascii="Calibri" w:eastAsia="Times New Roman" w:hAnsi="Calibri" w:cs="Calibri"/>
          <w:color w:val="1E293B"/>
          <w:sz w:val="22"/>
          <w:szCs w:val="22"/>
        </w:rPr>
        <w:t xml:space="preserve"> — A entrada em vigor escalonada do EU AI Act (com proibições já vigentes desde fevereiro de 2025 e requisitos para sistemas de alto risco em agosto de 2026) não está mapeada no horizonte estratégico da empresa, o que representa risco imediato para clientes europeus ou operações com transferência internacional de dados.</w:t>
      </w:r>
    </w:p>
    <w:p w14:paraId="08DEABFD" w14:textId="77777777" w:rsidR="00000000" w:rsidRDefault="00000000">
      <w:pPr>
        <w:numPr>
          <w:ilvl w:val="0"/>
          <w:numId w:val="3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Conformidade documentada com LGPD/GDPR em projetos de IA → 1.67</w:t>
      </w:r>
      <w:r>
        <w:rPr>
          <w:rFonts w:ascii="Calibri" w:eastAsia="Times New Roman" w:hAnsi="Calibri" w:cs="Calibri"/>
          <w:color w:val="1E293B"/>
          <w:sz w:val="22"/>
          <w:szCs w:val="22"/>
        </w:rPr>
        <w:t xml:space="preserve"> — A ausência de DPIAs e registros de tratamento automatizado em projetos de ML demonstra que o LGPD é tratado como compliance de TI genérica, não como requisito de ciclo de vida de modelos.</w:t>
      </w:r>
    </w:p>
    <w:p w14:paraId="6178CC1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 (ainda que baixo):</w:t>
      </w:r>
    </w:p>
    <w:p w14:paraId="723B987A" w14:textId="77777777" w:rsidR="00000000" w:rsidRDefault="00000000">
      <w:pPr>
        <w:numPr>
          <w:ilvl w:val="0"/>
          <w:numId w:val="3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Mapeamento de regulações aplicáveis → 2.0</w:t>
      </w:r>
      <w:r>
        <w:rPr>
          <w:rFonts w:ascii="Calibri" w:eastAsia="Times New Roman" w:hAnsi="Calibri" w:cs="Calibri"/>
          <w:color w:val="1E293B"/>
          <w:sz w:val="22"/>
          <w:szCs w:val="22"/>
        </w:rPr>
        <w:t xml:space="preserve"> — Existe algum nível de reconhecimento institucional de que regulações como LGPD, resoluções do Bacen (se aplicável a clientes fintech) e normas da ANS são relevantes, mesmo sem inventário formal estruturado.</w:t>
      </w:r>
    </w:p>
    <w:p w14:paraId="73556AA4" w14:textId="77777777" w:rsidR="00000000" w:rsidRDefault="00000000">
      <w:pPr>
        <w:numPr>
          <w:ilvl w:val="0"/>
          <w:numId w:val="3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Regulações setoriais nos projetos → 1.83</w:t>
      </w:r>
      <w:r>
        <w:rPr>
          <w:rFonts w:ascii="Calibri" w:eastAsia="Times New Roman" w:hAnsi="Calibri" w:cs="Calibri"/>
          <w:color w:val="1E293B"/>
          <w:sz w:val="22"/>
          <w:szCs w:val="22"/>
        </w:rPr>
        <w:t xml:space="preserve"> e </w:t>
      </w:r>
      <w:r>
        <w:rPr>
          <w:rStyle w:val="Forte"/>
          <w:rFonts w:ascii="Calibri" w:eastAsia="Times New Roman" w:hAnsi="Calibri" w:cs="Calibri"/>
          <w:color w:val="1E293B"/>
          <w:sz w:val="22"/>
          <w:szCs w:val="22"/>
        </w:rPr>
        <w:t>[Q5] Explicabilidade e transparência → 1.83</w:t>
      </w:r>
      <w:r>
        <w:rPr>
          <w:rFonts w:ascii="Calibri" w:eastAsia="Times New Roman" w:hAnsi="Calibri" w:cs="Calibri"/>
          <w:color w:val="1E293B"/>
          <w:sz w:val="22"/>
          <w:szCs w:val="22"/>
        </w:rPr>
        <w:t xml:space="preserve"> — Há sinais incipientes de preocupação com o tema em algumas squads, provavelmente nas que atendem clientes de setores regulados, mas sem padronização ou exigência transversal.</w:t>
      </w:r>
    </w:p>
    <w:p w14:paraId="2EE90C3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23D7EF3">
          <v:rect id="_x0000_i1100" alt="" style="width:425.2pt;height:.05pt;mso-width-percent:0;mso-height-percent:0;mso-width-percent:0;mso-height-percent:0" o:hralign="center" o:hrstd="t" o:hr="t" fillcolor="#a0a0a0" stroked="f"/>
        </w:pict>
      </w:r>
    </w:p>
    <w:p w14:paraId="3D857BF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3.11.3 Risco de Negócio</w:t>
      </w:r>
    </w:p>
    <w:p w14:paraId="44F13CC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Empresa Teste Maturidade IA opera em um setor onde </w:t>
      </w:r>
      <w:r>
        <w:rPr>
          <w:rStyle w:val="Forte"/>
          <w:rFonts w:ascii="Calibri" w:hAnsi="Calibri" w:cs="Calibri"/>
          <w:color w:val="1E293B"/>
          <w:sz w:val="22"/>
          <w:szCs w:val="22"/>
        </w:rPr>
        <w:t>regulação de IA deixou de ser risco futuro para ser risco presente e mensurável</w:t>
      </w:r>
      <w:r>
        <w:rPr>
          <w:rFonts w:ascii="Calibri" w:hAnsi="Calibri" w:cs="Calibri"/>
          <w:color w:val="1E293B"/>
          <w:sz w:val="22"/>
          <w:szCs w:val="22"/>
        </w:rPr>
        <w:t xml:space="preserve">. Com score médio de 1.57 nesta dimensão, a empresa está exposta simultaneamente a três vetores de dano: (i) </w:t>
      </w:r>
      <w:r>
        <w:rPr>
          <w:rStyle w:val="Forte"/>
          <w:rFonts w:ascii="Calibri" w:hAnsi="Calibri" w:cs="Calibri"/>
          <w:color w:val="1E293B"/>
          <w:sz w:val="22"/>
          <w:szCs w:val="22"/>
        </w:rPr>
        <w:t>sanção direta da ANPD</w:t>
      </w:r>
      <w:r>
        <w:rPr>
          <w:rFonts w:ascii="Calibri" w:hAnsi="Calibri" w:cs="Calibri"/>
          <w:color w:val="1E293B"/>
          <w:sz w:val="22"/>
          <w:szCs w:val="22"/>
        </w:rPr>
        <w:t xml:space="preserve"> — a autarquia publicou em 2024 seu primeiro ciclo de fiscalização temática envolvendo decisões automatizadas (art. 20 da LGPD), e empresas que desenvolvem ou operam sistemas de scoring, segmentação ou triagem automatizada para clientes são alvos explícitos; a ausência de DPIAs documentados e de registros de finalidade em pipelines de ML ([Q2]) constitui, por si só, infração passível de multa de até 2% do faturamento no Brasil, limitada a R$ 50 milhões por infração; (ii) </w:t>
      </w:r>
      <w:r>
        <w:rPr>
          <w:rStyle w:val="Forte"/>
          <w:rFonts w:ascii="Calibri" w:hAnsi="Calibri" w:cs="Calibri"/>
          <w:color w:val="1E293B"/>
          <w:sz w:val="22"/>
          <w:szCs w:val="22"/>
        </w:rPr>
        <w:t>perda de contratos B2B</w:t>
      </w:r>
      <w:r>
        <w:rPr>
          <w:rFonts w:ascii="Calibri" w:hAnsi="Calibri" w:cs="Calibri"/>
          <w:color w:val="1E293B"/>
          <w:sz w:val="22"/>
          <w:szCs w:val="22"/>
        </w:rPr>
        <w:t xml:space="preserve"> — clientes corporativos nos setores financeiro, saúde e varejo já incluem cláusulas de AI Governance em RFPs e contratos de outsourcing; sem capacidade de demonstrar conformidade documental ([Q6], [Q7]) e envolvimento de compliance ([Q8]), a Empresa Teste Maturidade IA perde qualificações competitivas em processos de licitação e renovação contratual de alto valor; (iii) </w:t>
      </w:r>
      <w:r>
        <w:rPr>
          <w:rStyle w:val="Forte"/>
          <w:rFonts w:ascii="Calibri" w:hAnsi="Calibri" w:cs="Calibri"/>
          <w:color w:val="1E293B"/>
          <w:sz w:val="22"/>
          <w:szCs w:val="22"/>
        </w:rPr>
        <w:t>barreira de expansão internacional</w:t>
      </w:r>
      <w:r>
        <w:rPr>
          <w:rFonts w:ascii="Calibri" w:hAnsi="Calibri" w:cs="Calibri"/>
          <w:color w:val="1E293B"/>
          <w:sz w:val="22"/>
          <w:szCs w:val="22"/>
        </w:rPr>
        <w:t xml:space="preserve"> — a entrada em vigor do EU AI Act cria obrigações extraterritoriais para qualquer fornecedor de sistemas de IA cujos outputs afetam usuários no Espaço Econômico Europeu; com [Q4] em 1.40 e sem roadmap de adequação, qualquer projeto de internacionalização ou parceria com empresas europeias estará bloqueado por deficiências de compliance que levarão 12 a 18 meses para ser sanadas se a preparação começar apenas quando o contrato exigir.</w:t>
      </w:r>
    </w:p>
    <w:p w14:paraId="75B5387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F488FD4">
          <v:rect id="_x0000_i1099" alt="" style="width:425.2pt;height:.05pt;mso-width-percent:0;mso-height-percent:0;mso-width-percent:0;mso-height-percent:0" o:hralign="center" o:hrstd="t" o:hr="t" fillcolor="#a0a0a0" stroked="f"/>
        </w:pict>
      </w:r>
    </w:p>
    <w:p w14:paraId="44432FF3"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3.11.4 Benchmark Setorial</w:t>
      </w:r>
    </w:p>
    <w:p w14:paraId="6093628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empresas de porte equivalente à Empresa Teste Maturidade IA — com operações B2B em setores regulados e portfólio de produtos com componentes de IA — já consolidaram, em média, práticas de </w:t>
      </w:r>
      <w:r>
        <w:rPr>
          <w:rStyle w:val="Forte"/>
          <w:rFonts w:ascii="Calibri" w:hAnsi="Calibri" w:cs="Calibri"/>
          <w:color w:val="1E293B"/>
          <w:sz w:val="22"/>
          <w:szCs w:val="22"/>
        </w:rPr>
        <w:t>Nível 3 (3.5 no score setorial)</w:t>
      </w:r>
      <w:r>
        <w:rPr>
          <w:rFonts w:ascii="Calibri" w:hAnsi="Calibri" w:cs="Calibri"/>
          <w:color w:val="1E293B"/>
          <w:sz w:val="22"/>
          <w:szCs w:val="22"/>
        </w:rPr>
        <w:t xml:space="preserve"> em conformidade regulatória de IA, o que no modelo MIT CISR corresponde ao </w:t>
      </w:r>
      <w:r>
        <w:rPr>
          <w:rStyle w:val="Forte"/>
          <w:rFonts w:ascii="Calibri" w:hAnsi="Calibri" w:cs="Calibri"/>
          <w:color w:val="1E293B"/>
          <w:sz w:val="22"/>
          <w:szCs w:val="22"/>
        </w:rPr>
        <w:t>Estágio 3 (Develop AI Ways of Working)</w:t>
      </w:r>
      <w:r>
        <w:rPr>
          <w:rFonts w:ascii="Calibri" w:hAnsi="Calibri" w:cs="Calibri"/>
          <w:color w:val="1E293B"/>
          <w:sz w:val="22"/>
          <w:szCs w:val="22"/>
        </w:rPr>
        <w:t xml:space="preserve">. Nesse patamar, organizações como consultorias de tecnologia de médio-grande porte (referência: consultorias globais com centros de desenvolvimento no Brasil) operam com AI Governance Offices integrados ao jurídico e ao CISO, produzem model cards padronizados por projeto, realizam DPIAs automatizados via plataformas como OneTrust ou TrustArc integradas ao pipeline de MLOps, e mantêm matrizes de classificação de sistemas de IA por nível de risco regulatório alinhadas ao EU AI Act. Empresas como Totvs e CI&amp;T — competidores diretos no segmento de tech services e soluções de software — já publicaram políticas públicas de uso responsável de IA com referências explícitas ao AI Act e ao NIST AI RMF, sinalizando maturidade de conformidade como diferencial competitivo. A Empresa Teste Maturidade IA, com score 1.57, está </w:t>
      </w:r>
      <w:r>
        <w:rPr>
          <w:rStyle w:val="Forte"/>
          <w:rFonts w:ascii="Calibri" w:hAnsi="Calibri" w:cs="Calibri"/>
          <w:color w:val="1E293B"/>
          <w:sz w:val="22"/>
          <w:szCs w:val="22"/>
        </w:rPr>
        <w:t>1.93 ponto abaixo da média setorial</w:t>
      </w:r>
      <w:r>
        <w:rPr>
          <w:rFonts w:ascii="Calibri" w:hAnsi="Calibri" w:cs="Calibri"/>
          <w:color w:val="1E293B"/>
          <w:sz w:val="22"/>
          <w:szCs w:val="22"/>
        </w:rPr>
        <w:t xml:space="preserve"> — uma defasagem que não é apenas operacional, mas estratégica: enquanto o mercado usa conformidade como argumento de venda, a empresa ainda não completou sequer o inventário regulatório básico.</w:t>
      </w:r>
    </w:p>
    <w:p w14:paraId="1136D7E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A325C30">
          <v:rect id="_x0000_i1098" alt="" style="width:425.2pt;height:.05pt;mso-width-percent:0;mso-height-percent:0;mso-width-percent:0;mso-height-percent:0" o:hralign="center" o:hrstd="t" o:hr="t" fillcolor="#a0a0a0" stroked="f"/>
        </w:pict>
      </w:r>
    </w:p>
    <w:p w14:paraId="0005F8D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3.11.5 Recomendações Específicas</w:t>
      </w:r>
    </w:p>
    <w:p w14:paraId="0026FE03"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Construir o AI Regulatory Inventory e Classificação de Risco por Sistema</w:t>
      </w:r>
    </w:p>
    <w:p w14:paraId="72EB604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Implementar um inventário centralizado de todos os dispositivos regulatórios aplicáveis aos sistemas de IA da Empresa Teste Maturidade IA, categorizando cada regulação por jurisdição (Brasil, UE, EUA), tipo de sistema afetado e prazo de adequação. Para cada sistema de IA em desenvolvimento ou produção, aplicar a </w:t>
      </w:r>
      <w:r>
        <w:rPr>
          <w:rStyle w:val="Forte"/>
          <w:rFonts w:ascii="Calibri" w:hAnsi="Calibri" w:cs="Calibri"/>
          <w:color w:val="1E293B"/>
          <w:sz w:val="22"/>
          <w:szCs w:val="22"/>
        </w:rPr>
        <w:t>matriz de classificação de risco do EU AI Act</w:t>
      </w:r>
      <w:r>
        <w:rPr>
          <w:rFonts w:ascii="Calibri" w:hAnsi="Calibri" w:cs="Calibri"/>
          <w:color w:val="1E293B"/>
          <w:sz w:val="22"/>
          <w:szCs w:val="22"/>
        </w:rPr>
        <w:t xml:space="preserve"> (proibido / alto risco / risco limitado / risco mínimo) em conjunto com a </w:t>
      </w:r>
      <w:r>
        <w:rPr>
          <w:rStyle w:val="Forte"/>
          <w:rFonts w:ascii="Calibri" w:hAnsi="Calibri" w:cs="Calibri"/>
          <w:color w:val="1E293B"/>
          <w:sz w:val="22"/>
          <w:szCs w:val="22"/>
        </w:rPr>
        <w:t>categoria de tratamento de dados da LGPD</w:t>
      </w:r>
      <w:r>
        <w:rPr>
          <w:rFonts w:ascii="Calibri" w:hAnsi="Calibri" w:cs="Calibri"/>
          <w:color w:val="1E293B"/>
          <w:sz w:val="22"/>
          <w:szCs w:val="22"/>
        </w:rPr>
        <w:t xml:space="preserve">. Este inventário deve ser vivo — atualizado a cada novo projeto e revisado trimestralmente. No </w:t>
      </w:r>
      <w:r>
        <w:rPr>
          <w:rStyle w:val="Forte"/>
          <w:rFonts w:ascii="Calibri" w:hAnsi="Calibri" w:cs="Calibri"/>
          <w:color w:val="1E293B"/>
          <w:sz w:val="22"/>
          <w:szCs w:val="22"/>
        </w:rPr>
        <w:t>Playbook Atlas</w:t>
      </w:r>
      <w:r>
        <w:rPr>
          <w:rFonts w:ascii="Calibri" w:hAnsi="Calibri" w:cs="Calibri"/>
          <w:color w:val="1E293B"/>
          <w:sz w:val="22"/>
          <w:szCs w:val="22"/>
        </w:rPr>
        <w:t xml:space="preserve">, acione o componente </w:t>
      </w:r>
      <w:r>
        <w:rPr>
          <w:rStyle w:val="Forte"/>
          <w:rFonts w:ascii="Calibri" w:hAnsi="Calibri" w:cs="Calibri"/>
          <w:color w:val="1E293B"/>
          <w:sz w:val="22"/>
          <w:szCs w:val="22"/>
        </w:rPr>
        <w:t>"Regulatory Intelligence Engine"</w:t>
      </w:r>
      <w:r>
        <w:rPr>
          <w:rFonts w:ascii="Calibri" w:hAnsi="Calibri" w:cs="Calibri"/>
          <w:color w:val="1E293B"/>
          <w:sz w:val="22"/>
          <w:szCs w:val="22"/>
        </w:rPr>
        <w:t xml:space="preserve"> (monitoramento automatizado de atualizações legislativas via feeds de APIs de diários oficiais e publicações regulatórias) integrado ao </w:t>
      </w:r>
      <w:r>
        <w:rPr>
          <w:rStyle w:val="Forte"/>
          <w:rFonts w:ascii="Calibri" w:hAnsi="Calibri" w:cs="Calibri"/>
          <w:color w:val="1E293B"/>
          <w:sz w:val="22"/>
          <w:szCs w:val="22"/>
        </w:rPr>
        <w:t>"AI Asset Registry Blueprint"</w:t>
      </w:r>
      <w:r>
        <w:rPr>
          <w:rFonts w:ascii="Calibri" w:hAnsi="Calibri" w:cs="Calibri"/>
          <w:color w:val="1E293B"/>
          <w:sz w:val="22"/>
          <w:szCs w:val="22"/>
        </w:rPr>
        <w:t xml:space="preserve"> para cruzamento automático de novos dispositivos com o portfólio de modelos. Responsável: Head de Compliance + Legal Tech Lead.</w:t>
      </w:r>
    </w:p>
    <w:p w14:paraId="4AD96B3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Implantar o Processo de DPIA Automatizado no Ciclo de Vida de ML</w:t>
      </w:r>
    </w:p>
    <w:p w14:paraId="11F2DDC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Criar um workflow obrigatório de Data Protection Impact Assessment (DPIA) para todo projeto de IA que processe dados pessoais, integrado ao processo de design review antes do início de desenvolvimento. O DPIA deve incluir: base legal de tratamento, análise de decisão automatizada (art. 20 LGPD), medidas técnicas de minimização de dados e registro de finalidade. Utilizar o </w:t>
      </w:r>
      <w:r>
        <w:rPr>
          <w:rStyle w:val="Forte"/>
          <w:rFonts w:ascii="Calibri" w:hAnsi="Calibri" w:cs="Calibri"/>
          <w:color w:val="1E293B"/>
          <w:sz w:val="22"/>
          <w:szCs w:val="22"/>
        </w:rPr>
        <w:t>"Privacy by Design Workflow"</w:t>
      </w:r>
      <w:r>
        <w:rPr>
          <w:rFonts w:ascii="Calibri" w:hAnsi="Calibri" w:cs="Calibri"/>
          <w:color w:val="1E293B"/>
          <w:sz w:val="22"/>
          <w:szCs w:val="22"/>
        </w:rPr>
        <w:t xml:space="preserve"> do Playbook Atlas, com integração ao sistema de ticketing de projetos (Jira/Azure DevOps) para bloqueio de avanço de sprint sem DPIA aprovado pelo DPO. Adicionalmente, adotar model cards padronizados — referência: formato Google Model Card — como artefato obrigatório de entrega em todo deploy de modelo, endereçando [Q5] diretamente. Responsável: DPO + Tech Leads de produto.</w:t>
      </w:r>
    </w:p>
    <w:p w14:paraId="2D33932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Estruturar o AI Compliance Audit Program (Interno + Externo)</w:t>
      </w:r>
    </w:p>
    <w:p w14:paraId="2EA13A4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Criar um programa de auditoria de conformidade específico para IA com duas modalidades: (a) </w:t>
      </w:r>
      <w:r>
        <w:rPr>
          <w:rStyle w:val="Forte"/>
          <w:rFonts w:ascii="Calibri" w:hAnsi="Calibri" w:cs="Calibri"/>
          <w:color w:val="1E293B"/>
          <w:sz w:val="22"/>
          <w:szCs w:val="22"/>
        </w:rPr>
        <w:t>auditoria interna trimestral</w:t>
      </w:r>
      <w:r>
        <w:rPr>
          <w:rFonts w:ascii="Calibri" w:hAnsi="Calibri" w:cs="Calibri"/>
          <w:color w:val="1E293B"/>
          <w:sz w:val="22"/>
          <w:szCs w:val="22"/>
        </w:rPr>
        <w:t xml:space="preserve"> conduzida pelo time de GRC, utilizando o </w:t>
      </w:r>
      <w:r>
        <w:rPr>
          <w:rStyle w:val="Forte"/>
          <w:rFonts w:ascii="Calibri" w:hAnsi="Calibri" w:cs="Calibri"/>
          <w:color w:val="1E293B"/>
          <w:sz w:val="22"/>
          <w:szCs w:val="22"/>
        </w:rPr>
        <w:t>NIST AI RMF Playbook</w:t>
      </w:r>
      <w:r>
        <w:rPr>
          <w:rFonts w:ascii="Calibri" w:hAnsi="Calibri" w:cs="Calibri"/>
          <w:color w:val="1E293B"/>
          <w:sz w:val="22"/>
          <w:szCs w:val="22"/>
        </w:rPr>
        <w:t xml:space="preserve"> como guia de controles (GOVERN, MAP, MEASURE, MANAGE) aplicado aos sistemas de alto risco no portfólio; (b) </w:t>
      </w:r>
      <w:r>
        <w:rPr>
          <w:rStyle w:val="Forte"/>
          <w:rFonts w:ascii="Calibri" w:hAnsi="Calibri" w:cs="Calibri"/>
          <w:color w:val="1E293B"/>
          <w:sz w:val="22"/>
          <w:szCs w:val="22"/>
        </w:rPr>
        <w:t>auditoria externa anual</w:t>
      </w:r>
      <w:r>
        <w:rPr>
          <w:rFonts w:ascii="Calibri" w:hAnsi="Calibri" w:cs="Calibri"/>
          <w:color w:val="1E293B"/>
          <w:sz w:val="22"/>
          <w:szCs w:val="22"/>
        </w:rPr>
        <w:t xml:space="preserve"> por firma especializada em AI governance para emissão de relatório de conformidade utilizável em processos de RFP e due diligence de clientes. O </w:t>
      </w:r>
      <w:r>
        <w:rPr>
          <w:rStyle w:val="Forte"/>
          <w:rFonts w:ascii="Calibri" w:hAnsi="Calibri" w:cs="Calibri"/>
          <w:color w:val="1E293B"/>
          <w:sz w:val="22"/>
          <w:szCs w:val="22"/>
        </w:rPr>
        <w:t>Playbook Atlas</w:t>
      </w:r>
      <w:r>
        <w:rPr>
          <w:rFonts w:ascii="Calibri" w:hAnsi="Calibri" w:cs="Calibri"/>
          <w:color w:val="1E293B"/>
          <w:sz w:val="22"/>
          <w:szCs w:val="22"/>
        </w:rPr>
        <w:t xml:space="preserve"> oferece o </w:t>
      </w:r>
      <w:r>
        <w:rPr>
          <w:rStyle w:val="Forte"/>
          <w:rFonts w:ascii="Calibri" w:hAnsi="Calibri" w:cs="Calibri"/>
          <w:color w:val="1E293B"/>
          <w:sz w:val="22"/>
          <w:szCs w:val="22"/>
        </w:rPr>
        <w:t>"AI Audit Checklist Accelerator"</w:t>
      </w:r>
      <w:r>
        <w:rPr>
          <w:rFonts w:ascii="Calibri" w:hAnsi="Calibri" w:cs="Calibri"/>
          <w:color w:val="1E293B"/>
          <w:sz w:val="22"/>
          <w:szCs w:val="22"/>
        </w:rPr>
        <w:t xml:space="preserve"> com 180+ controles mapeados para LGPD, EU AI Act e NIST AI RMF, reduzindo em ~60% o tempo de preparação da primeira auditoria. Esse programa endereça diretamente [Q6] e [Q7], criando o risk register de IA como subproduto natural do primeiro ciclo.</w:t>
      </w:r>
    </w:p>
    <w:p w14:paraId="7A4579F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Capacitar a Área Jurídica e Criar o AI Governance Council</w:t>
      </w:r>
    </w:p>
    <w:p w14:paraId="566550E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Promover programa de upskilling específico em direito algorítmico, LGPD aplicada à IA, EU AI Act e NIST AI RMF para a equipe jurídica e de compliance — com certificação mínima de 40 horas (referência: programas do IAPP em AI Governance e IA Law, ou trilha do Future of Privacy Forum). Em paralelo, institucionalizar o </w:t>
      </w:r>
      <w:r>
        <w:rPr>
          <w:rStyle w:val="Forte"/>
          <w:rFonts w:ascii="Calibri" w:hAnsi="Calibri" w:cs="Calibri"/>
          <w:color w:val="1E293B"/>
          <w:sz w:val="22"/>
          <w:szCs w:val="22"/>
        </w:rPr>
        <w:t>AI Governance Council</w:t>
      </w:r>
      <w:r>
        <w:rPr>
          <w:rFonts w:ascii="Calibri" w:hAnsi="Calibri" w:cs="Calibri"/>
          <w:color w:val="1E293B"/>
          <w:sz w:val="22"/>
          <w:szCs w:val="22"/>
        </w:rPr>
        <w:t xml:space="preserve"> — fórum multidisciplinar mensal com representantes de Legal, CISO, Data Science, Produto e Negócios — como instância de aprovação para sistemas de alto risco e revisão periódica de políticas. Endereça [Q8] de forma estrutural, não apenas pontual. Utilize o </w:t>
      </w:r>
      <w:r>
        <w:rPr>
          <w:rStyle w:val="Forte"/>
          <w:rFonts w:ascii="Calibri" w:hAnsi="Calibri" w:cs="Calibri"/>
          <w:color w:val="1E293B"/>
          <w:sz w:val="22"/>
          <w:szCs w:val="22"/>
        </w:rPr>
        <w:t>"AI Governance Operating Model Blueprint"</w:t>
      </w:r>
      <w:r>
        <w:rPr>
          <w:rFonts w:ascii="Calibri" w:hAnsi="Calibri" w:cs="Calibri"/>
          <w:color w:val="1E293B"/>
          <w:sz w:val="22"/>
          <w:szCs w:val="22"/>
        </w:rPr>
        <w:t xml:space="preserve"> do Playbook Atlas para acelerar a definição de charter, RACI e rituais do Council.</w:t>
      </w:r>
    </w:p>
    <w:p w14:paraId="07DD62B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7BF3D02">
          <v:rect id="_x0000_i1097" alt="" style="width:425.2pt;height:.05pt;mso-width-percent:0;mso-height-percent:0;mso-width-percent:0;mso-height-percent:0" o:hralign="center" o:hrstd="t" o:hr="t" fillcolor="#a0a0a0" stroked="f"/>
        </w:pict>
      </w:r>
    </w:p>
    <w:p w14:paraId="5321EF0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3.11.6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861"/>
        <w:gridCol w:w="1863"/>
        <w:gridCol w:w="1388"/>
        <w:gridCol w:w="2376"/>
      </w:tblGrid>
      <w:tr w:rsidR="00000000" w14:paraId="0C821DE4" w14:textId="77777777">
        <w:trPr>
          <w:divId w:val="802388483"/>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7DC083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F33AE3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CAF99C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7ABFFD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26B5976C" w14:textId="77777777">
        <w:trPr>
          <w:divId w:val="80238848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C17E4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projetos de IA com DPIA documentado e aprovado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1765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 (estimado — sem processo formal)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963B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 dos projetos novos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27A3E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projetos novos + 70% do portfólio legado</w:t>
            </w:r>
          </w:p>
        </w:tc>
      </w:tr>
      <w:tr w:rsidR="00000000" w14:paraId="03FCE70B" w14:textId="77777777">
        <w:trPr>
          <w:divId w:val="80238848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F7ED69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do AI Regulatory Inventory</w:t>
            </w:r>
            <w:r>
              <w:rPr>
                <w:rFonts w:ascii="Calibri" w:eastAsia="Times New Roman" w:hAnsi="Calibri" w:cs="Calibri"/>
                <w:color w:val="1E293B"/>
                <w:sz w:val="21"/>
                <w:szCs w:val="21"/>
              </w:rPr>
              <w:t xml:space="preserve"> (% de sistemas mapeados com classificação de risco EU AI Act + LGPD)</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FFB2CD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(inventário inexistente)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F4AAC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do portfólio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2481F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 portfólio + atualização trimestral institucionalizada</w:t>
            </w:r>
          </w:p>
        </w:tc>
      </w:tr>
      <w:tr w:rsidR="00000000" w14:paraId="7D6BC84F" w14:textId="77777777">
        <w:trPr>
          <w:divId w:val="80238848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83849B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Ciclos de auditoria de conformidade de IA concluídos</w:t>
            </w:r>
            <w:r>
              <w:rPr>
                <w:rFonts w:ascii="Calibri" w:eastAsia="Times New Roman" w:hAnsi="Calibri" w:cs="Calibri"/>
                <w:color w:val="1E293B"/>
                <w:sz w:val="21"/>
                <w:szCs w:val="21"/>
              </w:rPr>
              <w:t xml:space="preserve"> (interno + externo por ano)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70DE9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auditorias/ano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1799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 auditoria interna realizada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5E082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auditorias internas + 1 auditoria externa com relatório emitido</w:t>
            </w:r>
          </w:p>
        </w:tc>
      </w:tr>
      <w:tr w:rsidR="00000000" w14:paraId="754C8509" w14:textId="77777777">
        <w:trPr>
          <w:divId w:val="80238848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AF0807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modelos em produção com Model Card publicado internamente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77D92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&lt;10%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786A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dos modelos ativos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ABC2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novos deploys + 80% do portfólio legado</w:t>
            </w:r>
          </w:p>
        </w:tc>
      </w:tr>
      <w:tr w:rsidR="00000000" w14:paraId="756689A7" w14:textId="77777777">
        <w:trPr>
          <w:divId w:val="80238848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9891E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Índice de capacitação jurídica/compliance em IA</w:t>
            </w:r>
            <w:r>
              <w:rPr>
                <w:rFonts w:ascii="Calibri" w:eastAsia="Times New Roman" w:hAnsi="Calibri" w:cs="Calibri"/>
                <w:color w:val="1E293B"/>
                <w:sz w:val="21"/>
                <w:szCs w:val="21"/>
              </w:rPr>
              <w:t xml:space="preserve"> (% do time com certificação ou trilha formalizada ≥ 40h)</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21E01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19FEE9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da equipe jurídica e GRC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91BF5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 equipe jurídica e GRC + participação ativa no AI Governance Council</w:t>
            </w:r>
          </w:p>
        </w:tc>
      </w:tr>
    </w:tbl>
    <w:p w14:paraId="79BBC114"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3.12 Dimensão — Prontidão para Mudança — Score 2.80 · Nível 3</w:t>
      </w:r>
    </w:p>
    <w:p w14:paraId="32EB0E6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3.12.1 Análise Diagnóstica</w:t>
      </w:r>
    </w:p>
    <w:p w14:paraId="7E9391A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dimensão de </w:t>
      </w:r>
      <w:r>
        <w:rPr>
          <w:rStyle w:val="Forte"/>
          <w:rFonts w:ascii="Calibri" w:hAnsi="Calibri" w:cs="Calibri"/>
          <w:color w:val="1E293B"/>
          <w:sz w:val="22"/>
          <w:szCs w:val="22"/>
        </w:rPr>
        <w:t>Prontidão para Mudança</w:t>
      </w:r>
      <w:r>
        <w:rPr>
          <w:rFonts w:ascii="Calibri" w:hAnsi="Calibri" w:cs="Calibri"/>
          <w:color w:val="1E293B"/>
          <w:sz w:val="22"/>
          <w:szCs w:val="22"/>
        </w:rPr>
        <w:t xml:space="preserve"> na Empresa Teste Maturidade IA revela um padrão característico de empresas de tecnologia que possuem consciência intelectual da transformação, mas carecem da infraestrutura organizacional necessária para sustentá-la. O score consolidado desta dimensão (média ponderada ~2.71) situa a empresa em uma zona de ambiguidade crítica: há energia latente para a mudança, mas ela não está canalizada em processos estruturados. A convivência entre [Q2] (desejo dos colaboradores, 3.5) e [Q7] (apoio da liderança intermediária, 3.45) com [Q8] (plano estruturado de gestão de mudança, 2.09) e [Q3] (mapeamento de resistências, 1.82) é o retrato exato do que o MIT CISR descreve como </w:t>
      </w:r>
      <w:r>
        <w:rPr>
          <w:rStyle w:val="nfase"/>
          <w:rFonts w:ascii="Calibri" w:hAnsi="Calibri" w:cs="Calibri"/>
          <w:color w:val="1E293B"/>
          <w:sz w:val="22"/>
          <w:szCs w:val="22"/>
        </w:rPr>
        <w:t>capability gap</w:t>
      </w:r>
      <w:r>
        <w:rPr>
          <w:rFonts w:ascii="Calibri" w:hAnsi="Calibri" w:cs="Calibri"/>
          <w:color w:val="1E293B"/>
          <w:sz w:val="22"/>
          <w:szCs w:val="22"/>
        </w:rPr>
        <w:t xml:space="preserve"> no estágio 2 ("Build Pilots and Capabilities"): a organização pilota com entusiasmo, mas sem o scaffolding cultural e processual que converte pilotos em mudanças permanentes de forma de trabalho.</w:t>
      </w:r>
    </w:p>
    <w:p w14:paraId="7E479B8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padrão de respostas sinaliza um risco estrutural particularmente relevante para empresas de tecnologia: o entusiasmo técnico dos times de engenharia e produto ([Q2] = 3.5) pode mascarar fragilidades silenciosas nas áreas de suporte, operações e delivery que nunca foram mapeadas como focos de resistência ([Q3] = 1.82). Em empresas com modelos de squads ágeis — como é típico em tech houses do porte da Empresa Teste Maturidade IA —, a resistência à IA raramente se manifesta como recusa explícita; ela aparece como priorização baixa em backlogs, ausência de acceptance criteria para features de IA, e time-to-adoption prolongado em ferramentas como GitHub Copilot, Tabnine ou plataformas de observabilidade com inteligência embarcada. A ausência de mapeamento formal impede distinguir resistência sistêmica de mera inércia operacional. [Q4] (rede de champions, 2.64) confirma que não há uma malha de influência distribuída para propagar adoção além dos núcleos já convertidos.</w:t>
      </w:r>
    </w:p>
    <w:p w14:paraId="1C260DB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[Q5] (capacidade organizacional, 2.91) e [Q6] (mecanismos de sustentação, 2.36) completam o diagnóstico: mesmo onde a mudança começa, ela não encontra lastro para se consolidar. Times com alta carga de delivery contínuo — o contexto típico de uma empresa de tecnologia gerenciando múltiplos clientes e squads simultâneos — absorvem novas práticas de IA como exceções heroicas de alguns indivíduos, não como rotinas institucionalizadas. Sem rituais de reforço, checkpoints de adoção e ownership claro de mudança por área, as iniciativas de IA tendem a regir após o termino dos pilotos, criando um ciclo de frustração que corrói justamente o ativo mais valioso desta dimensão: a motivação genuína dos colaboradores ([Q2] = 3.5).</w:t>
      </w:r>
    </w:p>
    <w:p w14:paraId="7AE8FB9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C08CD08">
          <v:rect id="_x0000_i1096" alt="" style="width:425.2pt;height:.05pt;mso-width-percent:0;mso-height-percent:0;mso-width-percent:0;mso-height-percent:0" o:hralign="center" o:hrstd="t" o:hr="t" fillcolor="#a0a0a0" stroked="f"/>
        </w:pict>
      </w:r>
    </w:p>
    <w:p w14:paraId="570804E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3.12.2 Evidências Críticas</w:t>
      </w:r>
    </w:p>
    <w:p w14:paraId="69B1DFB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 (vulnerabilidades estruturais):</w:t>
      </w:r>
    </w:p>
    <w:p w14:paraId="67E09E10" w14:textId="77777777" w:rsidR="00000000" w:rsidRDefault="00000000">
      <w:pPr>
        <w:numPr>
          <w:ilvl w:val="0"/>
          <w:numId w:val="3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[Q8] Plano estruturado de gestão de mudança = 2.09</w:t>
      </w:r>
      <w:r>
        <w:rPr>
          <w:rFonts w:ascii="Calibri" w:eastAsia="Times New Roman" w:hAnsi="Calibri" w:cs="Calibri"/>
          <w:color w:val="1E293B"/>
          <w:sz w:val="22"/>
          <w:szCs w:val="22"/>
        </w:rPr>
        <w:t xml:space="preserve"> — A ausência de um Change Management Plan formal para iniciativas de IA é o gap mais grave: sem metodologia (ex.: PROSCI ADKAR, Kotter 8 Steps adaptado para IA), cada iniciativa reinventa a roda de adoção de forma artesanal, elevando o custo de escala.</w:t>
      </w:r>
    </w:p>
    <w:p w14:paraId="2F1CAE32" w14:textId="77777777" w:rsidR="00000000" w:rsidRDefault="00000000">
      <w:pPr>
        <w:numPr>
          <w:ilvl w:val="0"/>
          <w:numId w:val="3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Mapeamento de resistências = 1.82</w:t>
      </w:r>
      <w:r>
        <w:rPr>
          <w:rFonts w:ascii="Calibri" w:eastAsia="Times New Roman" w:hAnsi="Calibri" w:cs="Calibri"/>
          <w:color w:val="1E293B"/>
          <w:sz w:val="22"/>
          <w:szCs w:val="22"/>
        </w:rPr>
        <w:t xml:space="preserve"> — Score mais baixo da dimensão. Não há diagnóstico sistematizado de onde, quem e por que resiste à adoção de IA. Em tech, isso se traduz em squads que "testam" ferramentas de IA por 30 dias e abandonam sem análise de causa-raiz.</w:t>
      </w:r>
    </w:p>
    <w:p w14:paraId="7A537A98" w14:textId="77777777" w:rsidR="00000000" w:rsidRDefault="00000000">
      <w:pPr>
        <w:numPr>
          <w:ilvl w:val="0"/>
          <w:numId w:val="3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Mecanismos de sustentação = 2.36</w:t>
      </w:r>
      <w:r>
        <w:rPr>
          <w:rFonts w:ascii="Calibri" w:eastAsia="Times New Roman" w:hAnsi="Calibri" w:cs="Calibri"/>
          <w:color w:val="1E293B"/>
          <w:sz w:val="22"/>
          <w:szCs w:val="22"/>
        </w:rPr>
        <w:t xml:space="preserve"> — Ausência de rituais de reforço (revisões de adoção em sprint reviews, OKRs de uso de IA, comunidades de prática com cadência regular) impede que ganhos de pilotos se institucionalizem.</w:t>
      </w:r>
    </w:p>
    <w:p w14:paraId="6F930F87" w14:textId="77777777" w:rsidR="00000000" w:rsidRDefault="00000000">
      <w:pPr>
        <w:numPr>
          <w:ilvl w:val="0"/>
          <w:numId w:val="3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Rede de champions = 2.64</w:t>
      </w:r>
      <w:r>
        <w:rPr>
          <w:rFonts w:ascii="Calibri" w:eastAsia="Times New Roman" w:hAnsi="Calibri" w:cs="Calibri"/>
          <w:color w:val="1E293B"/>
          <w:sz w:val="22"/>
          <w:szCs w:val="22"/>
        </w:rPr>
        <w:t xml:space="preserve"> — A malha de agentes de mudança é incipiente. Sem champions com mandato formal e visibilidade, a adoção de IA depende de evangelistas informais, cujo engajamento é volátil.</w:t>
      </w:r>
    </w:p>
    <w:p w14:paraId="77C7A70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cima (ativos a explorar):</w:t>
      </w:r>
    </w:p>
    <w:p w14:paraId="4160850D" w14:textId="77777777" w:rsidR="00000000" w:rsidRDefault="00000000">
      <w:pPr>
        <w:numPr>
          <w:ilvl w:val="0"/>
          <w:numId w:val="3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Desejo e motivação dos colaboradores = 3.50</w:t>
      </w:r>
      <w:r>
        <w:rPr>
          <w:rFonts w:ascii="Calibri" w:eastAsia="Times New Roman" w:hAnsi="Calibri" w:cs="Calibri"/>
          <w:color w:val="1E293B"/>
          <w:sz w:val="22"/>
          <w:szCs w:val="22"/>
        </w:rPr>
        <w:t xml:space="preserve"> — O capital motivacional existe. Engenheiros, analistas e designers em empresas de tecnologia têm alta propensão a experimentar ferramentas de IA; esse ativo deve ser capturado antes que a frustração com ausência de estrutura o consuma.</w:t>
      </w:r>
    </w:p>
    <w:p w14:paraId="2EDD09C8" w14:textId="77777777" w:rsidR="00000000" w:rsidRDefault="00000000">
      <w:pPr>
        <w:numPr>
          <w:ilvl w:val="0"/>
          <w:numId w:val="3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[Q7] Apoio da liderança intermediária = 3.45</w:t>
      </w:r>
      <w:r>
        <w:rPr>
          <w:rFonts w:ascii="Calibri" w:eastAsia="Times New Roman" w:hAnsi="Calibri" w:cs="Calibri"/>
          <w:color w:val="1E293B"/>
          <w:sz w:val="22"/>
          <w:szCs w:val="22"/>
        </w:rPr>
        <w:t xml:space="preserve"> — Gerentes e coordenadores como aliados é um diferencial crítico: eles são o principal vetor de adoção sustentada em modelos de squads. Esse score valida que o terreno para um programa formal de champions é fértil.</w:t>
      </w:r>
    </w:p>
    <w:p w14:paraId="70CD1120" w14:textId="77777777" w:rsidR="00000000" w:rsidRDefault="00000000">
      <w:pPr>
        <w:numPr>
          <w:ilvl w:val="0"/>
          <w:numId w:val="3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Consciência organizacional = 2.92</w:t>
      </w:r>
      <w:r>
        <w:rPr>
          <w:rFonts w:ascii="Calibri" w:eastAsia="Times New Roman" w:hAnsi="Calibri" w:cs="Calibri"/>
          <w:color w:val="1E293B"/>
          <w:sz w:val="22"/>
          <w:szCs w:val="22"/>
        </w:rPr>
        <w:t xml:space="preserve"> — Há reconhecimento da necessidade de mudança, o que facilita a criação de demanda interna para programas estruturados.</w:t>
      </w:r>
    </w:p>
    <w:p w14:paraId="0616DFC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3E0A94D">
          <v:rect id="_x0000_i1095" alt="" style="width:425.2pt;height:.05pt;mso-width-percent:0;mso-height-percent:0;mso-width-percent:0;mso-height-percent:0" o:hralign="center" o:hrstd="t" o:hr="t" fillcolor="#a0a0a0" stroked="f"/>
        </w:pict>
      </w:r>
    </w:p>
    <w:p w14:paraId="369499F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3.12.3 Risco de Negócio</w:t>
      </w:r>
    </w:p>
    <w:p w14:paraId="7DE327B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risco específico desta dimensão não é a falta de vontade — é a </w:t>
      </w:r>
      <w:r>
        <w:rPr>
          <w:rStyle w:val="Forte"/>
          <w:rFonts w:ascii="Calibri" w:hAnsi="Calibri" w:cs="Calibri"/>
          <w:color w:val="1E293B"/>
          <w:sz w:val="22"/>
          <w:szCs w:val="22"/>
        </w:rPr>
        <w:t>evaporação silenciosa do capital motivacional</w:t>
      </w:r>
      <w:r>
        <w:rPr>
          <w:rFonts w:ascii="Calibri" w:hAnsi="Calibri" w:cs="Calibri"/>
          <w:color w:val="1E293B"/>
          <w:sz w:val="22"/>
          <w:szCs w:val="22"/>
        </w:rPr>
        <w:t xml:space="preserve"> acumulado. A Empresa Teste Maturidade IA possui um ativo raro: colaboradores genuinamente dispostos a adotar IA ([Q2] = 3.5) e líderes intermediários inclinados a apoiar ([Q7] = 3.45). Sem um plano estruturado de gestão de mudança ([Q8] = 2.09) e sem mecanismos de sustentação ([Q6] = 2.36), cada iniciativa de IA que fracassa no pós-piloto converte esse entusiasmo em ceticismo institucionalizado — o estado mais difícil de reverter em organizações de tecnologia, onde profissionais têm autonomia para ignorar ferramentas que "não funcionaram da última vez". Empresas como a Empresa Teste Maturidade IA, que competem por talentos sênior com grandes techs e consultorias globais, correm o risco adicional de perder profissionais de alto desempenho que buscam ambientes onde IA é uma realidade operacional — não um projeto-piloto perpétuo. Adicionalmente, a ausência de mapeamento de resistências ([Q3] = 1.82) significa que bloqueios em áreas críticas de delivery (como QA, arquitetura e customer success) podem estar invisíveis para a liderança sênior, criando gargalos que sabotam ROI de iniciativas de IA já aprovadas pelo board.</w:t>
      </w:r>
    </w:p>
    <w:p w14:paraId="0E777DE9"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6007A88">
          <v:rect id="_x0000_i1094" alt="" style="width:425.2pt;height:.05pt;mso-width-percent:0;mso-height-percent:0;mso-width-percent:0;mso-height-percent:0" o:hralign="center" o:hrstd="t" o:hr="t" fillcolor="#a0a0a0" stroked="f"/>
        </w:pict>
      </w:r>
    </w:p>
    <w:p w14:paraId="192612D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3.12.4 Benchmark Setorial</w:t>
      </w:r>
    </w:p>
    <w:p w14:paraId="64AC6DC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Empresas de tecnologia de grande porte com média setorial de 3.5 nesta dimensão já operam com programas formalizados de gestão de mudança para IA — incluindo redes de AI Champions com KPIs de ativação, mapeamentos periódicos de resistência por BU (tipicamente integrados a NPS interno e pesquisas de clima), e planos de reforço estruturados em ciclos trimestrais. Referências como Thoughtworks, TOTVS e consultorias de tecnologia globais que atuam no mesmo espaço da Empresa Teste Maturidade IA já institucionalizaram papéis de </w:t>
      </w:r>
      <w:r>
        <w:rPr>
          <w:rStyle w:val="nfase"/>
          <w:rFonts w:ascii="Calibri" w:hAnsi="Calibri" w:cs="Calibri"/>
          <w:color w:val="1E293B"/>
          <w:sz w:val="22"/>
          <w:szCs w:val="22"/>
        </w:rPr>
        <w:t>AI Adoption Manager</w:t>
      </w:r>
      <w:r>
        <w:rPr>
          <w:rFonts w:ascii="Calibri" w:hAnsi="Calibri" w:cs="Calibri"/>
          <w:color w:val="1E293B"/>
          <w:sz w:val="22"/>
          <w:szCs w:val="22"/>
        </w:rPr>
        <w:t xml:space="preserve"> ou </w:t>
      </w:r>
      <w:r>
        <w:rPr>
          <w:rStyle w:val="nfase"/>
          <w:rFonts w:ascii="Calibri" w:hAnsi="Calibri" w:cs="Calibri"/>
          <w:color w:val="1E293B"/>
          <w:sz w:val="22"/>
          <w:szCs w:val="22"/>
        </w:rPr>
        <w:t>Transformation Lead</w:t>
      </w:r>
      <w:r>
        <w:rPr>
          <w:rFonts w:ascii="Calibri" w:hAnsi="Calibri" w:cs="Calibri"/>
          <w:color w:val="1E293B"/>
          <w:sz w:val="22"/>
          <w:szCs w:val="22"/>
        </w:rPr>
        <w:t xml:space="preserve"> dedicados, conectados diretamente às práticas de DevEx (Developer Experience) — garantindo que ferramentas como copilots de código ou plataformas de MLOps sejam adotadas com onboarding estruturado, não por tentativa e erro individual. O gap de ~0.8 ponto entre a Empresa Teste Maturidade IA (est. ~2.71 nesta dimensão) e a média setorial (3.5) representa aproximadamente 12–18 meses de atraso na consolidação de uma cultura de IA operacional, o que, em um setor onde ciclos de inovação são semestrais, equivale a uma ou duas gerações de ferramentas de produtividade não aproveitadas competitivamente.</w:t>
      </w:r>
    </w:p>
    <w:p w14:paraId="45FB8E28"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25681B4">
          <v:rect id="_x0000_i1093" alt="" style="width:425.2pt;height:.05pt;mso-width-percent:0;mso-height-percent:0;mso-width-percent:0;mso-height-percent:0" o:hralign="center" o:hrstd="t" o:hr="t" fillcolor="#a0a0a0" stroked="f"/>
        </w:pict>
      </w:r>
    </w:p>
    <w:p w14:paraId="5E8976D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3.12.5 Recomendações Específicas</w:t>
      </w:r>
    </w:p>
    <w:p w14:paraId="5AA0D59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Instituir um Programa Formal de AI Champions com Mandato Claro</w:t>
      </w:r>
    </w:p>
    <w:p w14:paraId="672E161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Estruture uma rede de 8–12 AI Champions distribuídos por squads, BUs e funções críticas (engenharia, produto, dados, CS, operações), com dedicação parcial formalizada (20% de tempo) e OKRs de adoção vinculados à avaliação de desempenho. Utilize o </w:t>
      </w:r>
      <w:r>
        <w:rPr>
          <w:rStyle w:val="Forte"/>
          <w:rFonts w:ascii="Calibri" w:hAnsi="Calibri" w:cs="Calibri"/>
          <w:color w:val="1E293B"/>
          <w:sz w:val="22"/>
          <w:szCs w:val="22"/>
        </w:rPr>
        <w:t>Blueprint "AI Adoption Network" do Playbook Atlas</w:t>
      </w:r>
      <w:r>
        <w:rPr>
          <w:rFonts w:ascii="Calibri" w:hAnsi="Calibri" w:cs="Calibri"/>
          <w:color w:val="1E293B"/>
          <w:sz w:val="22"/>
          <w:szCs w:val="22"/>
        </w:rPr>
        <w:t xml:space="preserve"> para estruturar o modelo de governança da rede (perfis, rituais, métricas de ativação e relatórios de pulse). Conecte os champions a um canal de prática no modelo </w:t>
      </w:r>
      <w:r>
        <w:rPr>
          <w:rStyle w:val="nfase"/>
          <w:rFonts w:ascii="Calibri" w:hAnsi="Calibri" w:cs="Calibri"/>
          <w:color w:val="1E293B"/>
          <w:sz w:val="22"/>
          <w:szCs w:val="22"/>
        </w:rPr>
        <w:t>Community of Practice</w:t>
      </w:r>
      <w:r>
        <w:rPr>
          <w:rFonts w:ascii="Calibri" w:hAnsi="Calibri" w:cs="Calibri"/>
          <w:color w:val="1E293B"/>
          <w:sz w:val="22"/>
          <w:szCs w:val="22"/>
        </w:rPr>
        <w:t xml:space="preserve"> (CoP de IA), com cadência quinzenal e pauta estruturada — cases, bloqueios, ferramentas novas. Esse modelo é análogo ao que empresas como GitLab e Atlassian utilizaram para escalar adoção de práticas de DevOps: a mudança não vem top-down pura, mas de influência lateral credenciada.</w:t>
      </w:r>
    </w:p>
    <w:p w14:paraId="6E13025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Executar Diagnóstico de Resistências por Área (AI Readiness Heat Map)</w:t>
      </w:r>
    </w:p>
    <w:p w14:paraId="6A4EB3F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Comissione um diagnóstico estruturado de resistências utilizando o </w:t>
      </w:r>
      <w:r>
        <w:rPr>
          <w:rStyle w:val="Forte"/>
          <w:rFonts w:ascii="Calibri" w:hAnsi="Calibri" w:cs="Calibri"/>
          <w:color w:val="1E293B"/>
          <w:sz w:val="22"/>
          <w:szCs w:val="22"/>
        </w:rPr>
        <w:t>Motor de Diagnóstico de Prontidão Organizacional do Playbook Atlas</w:t>
      </w:r>
      <w:r>
        <w:rPr>
          <w:rFonts w:ascii="Calibri" w:hAnsi="Calibri" w:cs="Calibri"/>
          <w:color w:val="1E293B"/>
          <w:sz w:val="22"/>
          <w:szCs w:val="22"/>
        </w:rPr>
        <w:t xml:space="preserve">, combinando survey quantitativo (escala ADKAR) com entrevistas qualitativas em BUs prioritárias. O output deve ser um </w:t>
      </w:r>
      <w:r>
        <w:rPr>
          <w:rStyle w:val="nfase"/>
          <w:rFonts w:ascii="Calibri" w:hAnsi="Calibri" w:cs="Calibri"/>
          <w:color w:val="1E293B"/>
          <w:sz w:val="22"/>
          <w:szCs w:val="22"/>
        </w:rPr>
        <w:t>AI Readiness Heat Map</w:t>
      </w:r>
      <w:r>
        <w:rPr>
          <w:rFonts w:ascii="Calibri" w:hAnsi="Calibri" w:cs="Calibri"/>
          <w:color w:val="1E293B"/>
          <w:sz w:val="22"/>
          <w:szCs w:val="22"/>
        </w:rPr>
        <w:t xml:space="preserve"> — mapeando por área: nível de awareness, desejo de adoção, bloqueios percebidos (tempo, habilidade, relevância) e influenciadores-chave. Esse artefato alimenta diretamente a priorização do Plano de Gestão de Mudança (Ação 3) e torna visível para a liderança sênior onde estão os gargalos reais, não os percebidos.</w:t>
      </w:r>
    </w:p>
    <w:p w14:paraId="685A6F6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Desenvolver o Plano Estruturado de Gestão de Mudança para IA (AI Change Management Plan)</w:t>
      </w:r>
    </w:p>
    <w:p w14:paraId="706FD0F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Utilizando o </w:t>
      </w:r>
      <w:r>
        <w:rPr>
          <w:rStyle w:val="Forte"/>
          <w:rFonts w:ascii="Calibri" w:hAnsi="Calibri" w:cs="Calibri"/>
          <w:color w:val="1E293B"/>
          <w:sz w:val="22"/>
          <w:szCs w:val="22"/>
        </w:rPr>
        <w:t>Blueprint "Enterprise AI Change Playbook" do Playbook Atlas</w:t>
      </w:r>
      <w:r>
        <w:rPr>
          <w:rFonts w:ascii="Calibri" w:hAnsi="Calibri" w:cs="Calibri"/>
          <w:color w:val="1E293B"/>
          <w:sz w:val="22"/>
          <w:szCs w:val="22"/>
        </w:rPr>
        <w:t xml:space="preserve">, construa um plano formal com: (a) faseamento por BU/squad baseado no Heat Map, (b) rituais de reforço embutidos nos ciclos ágeis existentes (sprint review com slot de "AI adoption check", quarterly business review com métricas de uso de ferramentas), (c) framework de comunicação com narrativa diferenciada por público (C-level, gerências, ICs técnicos, áreas de suporte), e (d) mecanismos de feedback loop para capturar fricções em tempo real. O plano deve ser tratado como artefato vivo, revisado trimestralmente com base em métricas de adoção. Referencie o modelo </w:t>
      </w:r>
      <w:r>
        <w:rPr>
          <w:rStyle w:val="Forte"/>
          <w:rFonts w:ascii="Calibri" w:hAnsi="Calibri" w:cs="Calibri"/>
          <w:color w:val="1E293B"/>
          <w:sz w:val="22"/>
          <w:szCs w:val="22"/>
        </w:rPr>
        <w:t>Kotter-AI Adaptation</w:t>
      </w:r>
      <w:r>
        <w:rPr>
          <w:rFonts w:ascii="Calibri" w:hAnsi="Calibri" w:cs="Calibri"/>
          <w:color w:val="1E293B"/>
          <w:sz w:val="22"/>
          <w:szCs w:val="22"/>
        </w:rPr>
        <w:t xml:space="preserve"> e </w:t>
      </w:r>
      <w:r>
        <w:rPr>
          <w:rStyle w:val="Forte"/>
          <w:rFonts w:ascii="Calibri" w:hAnsi="Calibri" w:cs="Calibri"/>
          <w:color w:val="1E293B"/>
          <w:sz w:val="22"/>
          <w:szCs w:val="22"/>
        </w:rPr>
        <w:t>PROSCI ADKAR</w:t>
      </w:r>
      <w:r>
        <w:rPr>
          <w:rFonts w:ascii="Calibri" w:hAnsi="Calibri" w:cs="Calibri"/>
          <w:color w:val="1E293B"/>
          <w:sz w:val="22"/>
          <w:szCs w:val="22"/>
        </w:rPr>
        <w:t xml:space="preserve"> como frameworks metodológicos base — ambos têm alta aderência a contextos de tecnologia por sua compatibilidade com metodologias ágeis.</w:t>
      </w:r>
    </w:p>
    <w:p w14:paraId="0CB0E083"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Criar Mecanismos de Sustentação e Reforço com Dados (AI Adoption Dashboard)</w:t>
      </w:r>
    </w:p>
    <w:p w14:paraId="78A1C56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Implemente um </w:t>
      </w:r>
      <w:r>
        <w:rPr>
          <w:rStyle w:val="Forte"/>
          <w:rFonts w:ascii="Calibri" w:hAnsi="Calibri" w:cs="Calibri"/>
          <w:color w:val="1E293B"/>
          <w:sz w:val="22"/>
          <w:szCs w:val="22"/>
        </w:rPr>
        <w:t>AI Adoption Dashboard</w:t>
      </w:r>
      <w:r>
        <w:rPr>
          <w:rFonts w:ascii="Calibri" w:hAnsi="Calibri" w:cs="Calibri"/>
          <w:color w:val="1E293B"/>
          <w:sz w:val="22"/>
          <w:szCs w:val="22"/>
        </w:rPr>
        <w:t xml:space="preserve"> — utilizando o </w:t>
      </w:r>
      <w:r>
        <w:rPr>
          <w:rStyle w:val="Forte"/>
          <w:rFonts w:ascii="Calibri" w:hAnsi="Calibri" w:cs="Calibri"/>
          <w:color w:val="1E293B"/>
          <w:sz w:val="22"/>
          <w:szCs w:val="22"/>
        </w:rPr>
        <w:t>Componente de Observabilidade de Adoção do Playbook Atlas</w:t>
      </w:r>
      <w:r>
        <w:rPr>
          <w:rFonts w:ascii="Calibri" w:hAnsi="Calibri" w:cs="Calibri"/>
          <w:color w:val="1E293B"/>
          <w:sz w:val="22"/>
          <w:szCs w:val="22"/>
        </w:rPr>
        <w:t xml:space="preserve"> — que monitore em tempo real: taxa de uso ativo de ferramentas de IA por squad, tempo médio de onboarding em novas ferramentas, frequência de contribuição dos champions, e NPS de adoção por área. Exponha esse dashboard na all-hands mensal e nos rituais de QBR. O simples ato de tornar a adoção visível e mensurável, em culturas de tecnologia orientadas a dados, gera pressão positiva de pares e accountability sem necessidade de comando-e-controle. Conecte os indicadores do dashboard aos OKRs corporativos de transformação de IA para garantir sinalização estratégica consistente.</w:t>
      </w:r>
    </w:p>
    <w:p w14:paraId="711EC2A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99A8215">
          <v:rect id="_x0000_i1092" alt="" style="width:425.2pt;height:.05pt;mso-width-percent:0;mso-height-percent:0;mso-width-percent:0;mso-height-percent:0" o:hralign="center" o:hrstd="t" o:hr="t" fillcolor="#a0a0a0" stroked="f"/>
        </w:pict>
      </w:r>
    </w:p>
    <w:p w14:paraId="441E7063"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3.12.6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581"/>
        <w:gridCol w:w="1781"/>
        <w:gridCol w:w="1861"/>
        <w:gridCol w:w="2265"/>
      </w:tblGrid>
      <w:tr w:rsidR="00000000" w14:paraId="598E5F68" w14:textId="77777777">
        <w:trPr>
          <w:divId w:val="356779352"/>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ECA593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3CD3EE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3F2753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78878C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229D226E" w14:textId="77777777">
        <w:trPr>
          <w:divId w:val="3567793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EEEEF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da rede de AI Champions</w:t>
            </w:r>
            <w:r>
              <w:rPr>
                <w:rFonts w:ascii="Calibri" w:eastAsia="Times New Roman" w:hAnsi="Calibri" w:cs="Calibri"/>
                <w:color w:val="1E293B"/>
                <w:sz w:val="21"/>
                <w:szCs w:val="21"/>
              </w:rPr>
              <w:t xml:space="preserve"> (% de BUs/squads com champion ativo e formalizado)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51B5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~10–15% (informal, sem mandato)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BB72A1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 das BUs críticas cobertas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D5D6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90% de cobertura com OKRs ativos</w:t>
            </w:r>
          </w:p>
        </w:tc>
      </w:tr>
      <w:tr w:rsidR="00000000" w14:paraId="2393DD3C" w14:textId="77777777">
        <w:trPr>
          <w:divId w:val="3567793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13E87C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Score de Mapeamento de Resistências</w:t>
            </w:r>
            <w:r>
              <w:rPr>
                <w:rFonts w:ascii="Calibri" w:eastAsia="Times New Roman" w:hAnsi="Calibri" w:cs="Calibri"/>
                <w:color w:val="1E293B"/>
                <w:sz w:val="21"/>
                <w:szCs w:val="21"/>
              </w:rPr>
              <w:t xml:space="preserve"> (% de áreas com diagnóstico ADKAR documentado)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6EC223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(inexistente)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BE90C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 das BUs mapeadas com Heat Map</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8691C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mapeado + revisão semestral institucionalizada</w:t>
            </w:r>
          </w:p>
        </w:tc>
      </w:tr>
      <w:tr w:rsidR="00000000" w14:paraId="51953589" w14:textId="77777777">
        <w:trPr>
          <w:divId w:val="3567793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9AFB0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adoção ativa de ferramentas de IA por squad</w:t>
            </w:r>
            <w:r>
              <w:rPr>
                <w:rFonts w:ascii="Calibri" w:eastAsia="Times New Roman" w:hAnsi="Calibri" w:cs="Calibri"/>
                <w:color w:val="1E293B"/>
                <w:sz w:val="21"/>
                <w:szCs w:val="21"/>
              </w:rPr>
              <w:t xml:space="preserve"> (% de membros com uso recorrente ≥ 3x/semana)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69CDFC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~25–30%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42DE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dos squads de engenharia e produto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67F0F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65% de adoção transversal (incluindo áreas de suporte)</w:t>
            </w:r>
          </w:p>
        </w:tc>
      </w:tr>
      <w:tr w:rsidR="00000000" w14:paraId="091CECFB" w14:textId="77777777">
        <w:trPr>
          <w:divId w:val="3567793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33ACF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Existência e maturidade do AI Change Management Plan</w:t>
            </w:r>
            <w:r>
              <w:rPr>
                <w:rFonts w:ascii="Calibri" w:eastAsia="Times New Roman" w:hAnsi="Calibri" w:cs="Calibri"/>
                <w:color w:val="1E293B"/>
                <w:sz w:val="21"/>
                <w:szCs w:val="21"/>
              </w:rPr>
              <w:t xml:space="preserve"> (escala 0–4: 0=inexistente, 4=vivo e revisado)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D7EBA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(inexistente)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C57A4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(plano documentado e comunicado)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FF084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 (plano operacional com rituais e feedback loop ativos)</w:t>
            </w:r>
          </w:p>
        </w:tc>
      </w:tr>
      <w:tr w:rsidR="00000000" w14:paraId="46119474" w14:textId="77777777">
        <w:trPr>
          <w:divId w:val="3567793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BC208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NPS de Adoção de IA interno</w:t>
            </w:r>
            <w:r>
              <w:rPr>
                <w:rFonts w:ascii="Calibri" w:eastAsia="Times New Roman" w:hAnsi="Calibri" w:cs="Calibri"/>
                <w:color w:val="1E293B"/>
                <w:sz w:val="21"/>
                <w:szCs w:val="21"/>
              </w:rPr>
              <w:t xml:space="preserve"> (satisfação dos colaboradores com o processo de adoção de ferramentas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D383EC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medido (baseline a estabelecer em M1)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CDDF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Baseline estabelecido + NPS ≥ 30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20788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NPS ≥ 45 com segmentação por área e nível hierárquico</w:t>
            </w:r>
          </w:p>
        </w:tc>
      </w:tr>
    </w:tbl>
    <w:p w14:paraId="2B790BAC"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3.13 Dimensão — IA como Gerador de Receita — Score 2.37 · Nível 2</w:t>
      </w:r>
    </w:p>
    <w:p w14:paraId="5DC17DA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3.13.1 Análise Diagnóstica</w:t>
      </w:r>
    </w:p>
    <w:p w14:paraId="62FF5EE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consolidado desta dimensão — </w:t>
      </w:r>
      <w:r>
        <w:rPr>
          <w:rStyle w:val="Forte"/>
          <w:rFonts w:ascii="Calibri" w:hAnsi="Calibri" w:cs="Calibri"/>
          <w:color w:val="1E293B"/>
          <w:sz w:val="22"/>
          <w:szCs w:val="22"/>
        </w:rPr>
        <w:t>IA como Gerador de Receita</w:t>
      </w:r>
      <w:r>
        <w:rPr>
          <w:rFonts w:ascii="Calibri" w:hAnsi="Calibri" w:cs="Calibri"/>
          <w:color w:val="1E293B"/>
          <w:sz w:val="22"/>
          <w:szCs w:val="22"/>
        </w:rPr>
        <w:t xml:space="preserve"> — situa a Empresa Teste Maturidade IA em um intervalo crítico de transição: suficientemente avançada para reconhecer o valor comercial da IA, mas ainda distante da capacidade de monetizá-la de forma sistemática e escalável. As respostas a [Q1] e [Q2] (ambas em 2.82) sugerem que há iniciativas de monetização em andamento ou em estágio de piloto — a empresa já vende ou contempla vender capacidades de IA para terceiros e experimenta modelos de receita adjacentes — mas essas iniciativas permanecem fragmentadas, sem o suporte de uma arquitetura de produto, precificação ou go-to-market estruturados. No ecossistema de empresas de tecnologia de grande porte, esse padrão é típico do que o MIT CISR denomina </w:t>
      </w:r>
      <w:r>
        <w:rPr>
          <w:rStyle w:val="Forte"/>
          <w:rFonts w:ascii="Calibri" w:hAnsi="Calibri" w:cs="Calibri"/>
          <w:color w:val="1E293B"/>
          <w:sz w:val="22"/>
          <w:szCs w:val="22"/>
        </w:rPr>
        <w:t>Stage 2 (Build Pilots and Capabilities)</w:t>
      </w:r>
      <w:r>
        <w:rPr>
          <w:rFonts w:ascii="Calibri" w:hAnsi="Calibri" w:cs="Calibri"/>
          <w:color w:val="1E293B"/>
          <w:sz w:val="22"/>
          <w:szCs w:val="22"/>
        </w:rPr>
        <w:t>: a organização acumula evidências de viabilidade, porém ainda não desenvolveu os mecanismos institucionais para transformar pilotos em linhas de receita recorrente.</w:t>
      </w:r>
    </w:p>
    <w:p w14:paraId="79E8332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ponto de maior fragilidade estrutural está concentrado em [Q5] (score 1.7) e [Q6] (score 2.09). O baixo índice de propriedade intelectual em IA — patentes, modelos proprietários, datasets curados — revela que a Empresa Teste Maturidade IA não está construindo ativos defensáveis que diferenciem suas soluções no mercado de longo prazo. Empresas de tecnologia como Salesforce (com o Einstein AI), ServiceNow (Now Intelligence) e Totvs (com o Carol AI Platform) construíram moats competitivos justamente ao proteger seus modelos verticais e embedá-los em produtos licenciáveis. A ausência de uma camada de IP proprietário expõe a Empresa Teste Maturidade IA a uma dependência excessiva de fornecedores de modelos fundacionais (OpenAI, Anthropic, Google), reduzindo margens e comprometendo a proposta de valor diferenciada. Adicionalmente, o score em [Q6] indica que o time comercial carece de capacitação técnica para qualificar, demonstrar e fechar negócios que envolvam IA — um gap que não é apenas de treinamento, mas de redesenho do ciclo de vendas.</w:t>
      </w:r>
    </w:p>
    <w:p w14:paraId="5BFE852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combinação de scores intermediários em [Q3] (AIaaS, 2.3) e [Q4] (percentual de receita atribuído a IA, 2.2) confirma um padrão diagnóstico de </w:t>
      </w:r>
      <w:r>
        <w:rPr>
          <w:rStyle w:val="Forte"/>
          <w:rFonts w:ascii="Calibri" w:hAnsi="Calibri" w:cs="Calibri"/>
          <w:color w:val="1E293B"/>
          <w:sz w:val="22"/>
          <w:szCs w:val="22"/>
        </w:rPr>
        <w:t>potencial represado</w:t>
      </w:r>
      <w:r>
        <w:rPr>
          <w:rFonts w:ascii="Calibri" w:hAnsi="Calibri" w:cs="Calibri"/>
          <w:color w:val="1E293B"/>
          <w:sz w:val="22"/>
          <w:szCs w:val="22"/>
        </w:rPr>
        <w:t xml:space="preserve">: a empresa possui conhecimento técnico interno suficiente para estruturar ofertas de IA como serviço, mas não organizou os elementos necessários para isso — contratos de consumo por uso, SLAs baseados em desempenho de modelos, billing por inferência ou por valor entregue. O gap entre o que já existe em laboratório e o que está empacotado como oferta comercializável é o maior obstáculo para que a Empresa Teste Maturidade IA suba ao </w:t>
      </w:r>
      <w:r>
        <w:rPr>
          <w:rStyle w:val="Forte"/>
          <w:rFonts w:ascii="Calibri" w:hAnsi="Calibri" w:cs="Calibri"/>
          <w:color w:val="1E293B"/>
          <w:sz w:val="22"/>
          <w:szCs w:val="22"/>
        </w:rPr>
        <w:t>Stage 3 (Develop AI Ways of Working)</w:t>
      </w:r>
      <w:r>
        <w:rPr>
          <w:rFonts w:ascii="Calibri" w:hAnsi="Calibri" w:cs="Calibri"/>
          <w:color w:val="1E293B"/>
          <w:sz w:val="22"/>
          <w:szCs w:val="22"/>
        </w:rPr>
        <w:t>, onde a IA começa a contribuir de forma mensurável e recorrente para o P&amp;L da empresa.</w:t>
      </w:r>
    </w:p>
    <w:p w14:paraId="4E4809D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565FF2C">
          <v:rect id="_x0000_i1091" alt="" style="width:425.2pt;height:.05pt;mso-width-percent:0;mso-height-percent:0;mso-width-percent:0;mso-height-percent:0" o:hralign="center" o:hrstd="t" o:hr="t" fillcolor="#a0a0a0" stroked="f"/>
        </w:pict>
      </w:r>
    </w:p>
    <w:p w14:paraId="3CAEEFB9"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3.13.2 Evidências Críticas</w:t>
      </w:r>
    </w:p>
    <w:p w14:paraId="1E2F6BE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sustentam o score (pontos positivos relativos):</w:t>
      </w:r>
    </w:p>
    <w:p w14:paraId="1C4AE1F2" w14:textId="77777777" w:rsidR="00000000" w:rsidRDefault="00000000">
      <w:pPr>
        <w:numPr>
          <w:ilvl w:val="0"/>
          <w:numId w:val="3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Score 2.82</w:t>
      </w:r>
      <w:r>
        <w:rPr>
          <w:rFonts w:ascii="Calibri" w:eastAsia="Times New Roman" w:hAnsi="Calibri" w:cs="Calibri"/>
          <w:color w:val="1E293B"/>
          <w:sz w:val="22"/>
          <w:szCs w:val="22"/>
        </w:rPr>
        <w:t xml:space="preserve"> — Há indícios de que a empresa já realiza ou negocia serviços de IA para clientes externos; o histórico de entrega de projetos de tecnologia cria uma base de relacionamento que pode ser convertida em contratos de IA recorrente.</w:t>
      </w:r>
    </w:p>
    <w:p w14:paraId="7FCACBC4" w14:textId="77777777" w:rsidR="00000000" w:rsidRDefault="00000000">
      <w:pPr>
        <w:numPr>
          <w:ilvl w:val="0"/>
          <w:numId w:val="3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Score 2.82</w:t>
      </w:r>
      <w:r>
        <w:rPr>
          <w:rFonts w:ascii="Calibri" w:eastAsia="Times New Roman" w:hAnsi="Calibri" w:cs="Calibri"/>
          <w:color w:val="1E293B"/>
          <w:sz w:val="22"/>
          <w:szCs w:val="22"/>
        </w:rPr>
        <w:t xml:space="preserve"> — Existe consciência organizacional sobre novos modelos de negócio baseados em IA; provavelmente há discussões internas ou MVPs de produtos que exploram esse vetor, o que indica apetite estratégico real.</w:t>
      </w:r>
    </w:p>
    <w:p w14:paraId="21F809A7" w14:textId="77777777" w:rsidR="00000000" w:rsidRDefault="00000000">
      <w:pPr>
        <w:numPr>
          <w:ilvl w:val="0"/>
          <w:numId w:val="3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Score 2.3</w:t>
      </w:r>
      <w:r>
        <w:rPr>
          <w:rFonts w:ascii="Calibri" w:eastAsia="Times New Roman" w:hAnsi="Calibri" w:cs="Calibri"/>
          <w:color w:val="1E293B"/>
          <w:sz w:val="22"/>
          <w:szCs w:val="22"/>
        </w:rPr>
        <w:t xml:space="preserve"> — O tema AIaaS não é desconhecido; algum nível de oferta ou prova de conceito nessa direção foi identificado pelos avaliadores, mesmo que não esteja formalizado em portfólio.</w:t>
      </w:r>
    </w:p>
    <w:p w14:paraId="4397114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 (gaps críticos):</w:t>
      </w:r>
    </w:p>
    <w:p w14:paraId="157EA0D2" w14:textId="77777777" w:rsidR="00000000" w:rsidRDefault="00000000">
      <w:pPr>
        <w:numPr>
          <w:ilvl w:val="0"/>
          <w:numId w:val="3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Score 1.7 — o mais baixo da dimensão</w:t>
      </w:r>
      <w:r>
        <w:rPr>
          <w:rFonts w:ascii="Calibri" w:eastAsia="Times New Roman" w:hAnsi="Calibri" w:cs="Calibri"/>
          <w:color w:val="1E293B"/>
          <w:sz w:val="22"/>
          <w:szCs w:val="22"/>
        </w:rPr>
        <w:t>: ausência expressiva de propriedade intelectual em IA; sem patentes ou modelos proprietários, a empresa não possui ativos que possam ser licenciados, defendidos juridicamente ou valorados em processos de M&amp;A e captação.</w:t>
      </w:r>
    </w:p>
    <w:p w14:paraId="35EC4B77" w14:textId="77777777" w:rsidR="00000000" w:rsidRDefault="00000000">
      <w:pPr>
        <w:numPr>
          <w:ilvl w:val="0"/>
          <w:numId w:val="3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Score 2.09</w:t>
      </w:r>
      <w:r>
        <w:rPr>
          <w:rFonts w:ascii="Calibri" w:eastAsia="Times New Roman" w:hAnsi="Calibri" w:cs="Calibri"/>
          <w:color w:val="1E293B"/>
          <w:sz w:val="22"/>
          <w:szCs w:val="22"/>
        </w:rPr>
        <w:t>: força de vendas sem treinamento estruturado para soluções de IA; o time comercial não consegue articular ROI técnico, demonstrar diferenciais de modelos ou conduzir provas de valor (PoV) com prospects técnicos — um bloqueio direto à conversão de oportunidades.</w:t>
      </w:r>
    </w:p>
    <w:p w14:paraId="4517F064" w14:textId="77777777" w:rsidR="00000000" w:rsidRDefault="00000000">
      <w:pPr>
        <w:numPr>
          <w:ilvl w:val="0"/>
          <w:numId w:val="3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Score 2.2</w:t>
      </w:r>
      <w:r>
        <w:rPr>
          <w:rFonts w:ascii="Calibri" w:eastAsia="Times New Roman" w:hAnsi="Calibri" w:cs="Calibri"/>
          <w:color w:val="1E293B"/>
          <w:sz w:val="22"/>
          <w:szCs w:val="22"/>
        </w:rPr>
        <w:t>: percentual da receita atribuído diretamente a IA ainda é baixo ou não rastreado com rigor; sem essa métrica internalizada, é impossível tomar decisões de investimento em produto baseadas em retorno real.</w:t>
      </w:r>
    </w:p>
    <w:p w14:paraId="426E1634" w14:textId="77777777" w:rsidR="00000000" w:rsidRDefault="00000000">
      <w:pPr>
        <w:numPr>
          <w:ilvl w:val="0"/>
          <w:numId w:val="3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Score 2.3</w:t>
      </w:r>
      <w:r>
        <w:rPr>
          <w:rFonts w:ascii="Calibri" w:eastAsia="Times New Roman" w:hAnsi="Calibri" w:cs="Calibri"/>
          <w:color w:val="1E293B"/>
          <w:sz w:val="22"/>
          <w:szCs w:val="22"/>
        </w:rPr>
        <w:t>: a ausência de uma oferta formal de AIaaS — com pricing, documentação de API, SLA e onboarding — impede que capacidades técnicas existentes sejam escaladas como produto.</w:t>
      </w:r>
    </w:p>
    <w:p w14:paraId="1456959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CA3AA09">
          <v:rect id="_x0000_i1090" alt="" style="width:425.2pt;height:.05pt;mso-width-percent:0;mso-height-percent:0;mso-width-percent:0;mso-height-percent:0" o:hralign="center" o:hrstd="t" o:hr="t" fillcolor="#a0a0a0" stroked="f"/>
        </w:pict>
      </w:r>
    </w:p>
    <w:p w14:paraId="58B6A83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3.13.3 Risco de Negócio</w:t>
      </w:r>
    </w:p>
    <w:p w14:paraId="7260FDD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permanência neste nível de maturidade em </w:t>
      </w:r>
      <w:r>
        <w:rPr>
          <w:rStyle w:val="Forte"/>
          <w:rFonts w:ascii="Calibri" w:hAnsi="Calibri" w:cs="Calibri"/>
          <w:color w:val="1E293B"/>
          <w:sz w:val="22"/>
          <w:szCs w:val="22"/>
        </w:rPr>
        <w:t>IA como Gerador de Receita</w:t>
      </w:r>
      <w:r>
        <w:rPr>
          <w:rFonts w:ascii="Calibri" w:hAnsi="Calibri" w:cs="Calibri"/>
          <w:color w:val="1E293B"/>
          <w:sz w:val="22"/>
          <w:szCs w:val="22"/>
        </w:rPr>
        <w:t xml:space="preserve"> expõe a Empresa Teste Maturidade IA a um risco específico e crescente de </w:t>
      </w:r>
      <w:r>
        <w:rPr>
          <w:rStyle w:val="Forte"/>
          <w:rFonts w:ascii="Calibri" w:hAnsi="Calibri" w:cs="Calibri"/>
          <w:color w:val="1E293B"/>
          <w:sz w:val="22"/>
          <w:szCs w:val="22"/>
        </w:rPr>
        <w:t>comoditização do portfólio de serviços</w:t>
      </w:r>
      <w:r>
        <w:rPr>
          <w:rFonts w:ascii="Calibri" w:hAnsi="Calibri" w:cs="Calibri"/>
          <w:color w:val="1E293B"/>
          <w:sz w:val="22"/>
          <w:szCs w:val="22"/>
        </w:rPr>
        <w:t>. Em um mercado onde consultorias globais (Accenture, Cognizant, Infosys) e fintechs de plataforma (TOTVS, Linx, Stefanini) já empacotam capacidades de IA como produtos licenciáveis com receita recorrente, empresas que mantêm IA restrita ao backoffice ou a projetos pontuais perdem gradualmente a capacidade de justificar prêmio de preço e diferenciação contratual. Sem IP proprietário, sem time comercial habilitado e sem uma parcela rastreável de receita oriunda de IA, a Empresa Teste Maturidade IA corre o risco concreto de ser percebida pelo mercado como integradora de tecnologia de terceiros — não como desenvolvedora de inteligência — reduzindo seu poder de precificação, atraindo menos talentos sêniores e ficando fora do radar de parceiros estratégicos que buscam co-investir em plataformas de IA para verticais específicas.</w:t>
      </w:r>
    </w:p>
    <w:p w14:paraId="0DF6ADC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9BDB347">
          <v:rect id="_x0000_i1089" alt="" style="width:425.2pt;height:.05pt;mso-width-percent:0;mso-height-percent:0;mso-width-percent:0;mso-height-percent:0" o:hralign="center" o:hrstd="t" o:hr="t" fillcolor="#a0a0a0" stroked="f"/>
        </w:pict>
      </w:r>
    </w:p>
    <w:p w14:paraId="4B752CD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3.13.4 Benchmark Setorial</w:t>
      </w:r>
    </w:p>
    <w:p w14:paraId="6947135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o score médio de maturidade para a dimensão de IA como Gerador de Receita situa-se em torno de </w:t>
      </w:r>
      <w:r>
        <w:rPr>
          <w:rStyle w:val="Forte"/>
          <w:rFonts w:ascii="Calibri" w:hAnsi="Calibri" w:cs="Calibri"/>
          <w:color w:val="1E293B"/>
          <w:sz w:val="22"/>
          <w:szCs w:val="22"/>
        </w:rPr>
        <w:t>3.5</w:t>
      </w:r>
      <w:r>
        <w:rPr>
          <w:rFonts w:ascii="Calibri" w:hAnsi="Calibri" w:cs="Calibri"/>
          <w:color w:val="1E293B"/>
          <w:sz w:val="22"/>
          <w:szCs w:val="22"/>
        </w:rPr>
        <w:t xml:space="preserve">, conforme o referencial setorial deste assessment — distância de aproximadamente </w:t>
      </w:r>
      <w:r>
        <w:rPr>
          <w:rStyle w:val="Forte"/>
          <w:rFonts w:ascii="Calibri" w:hAnsi="Calibri" w:cs="Calibri"/>
          <w:color w:val="1E293B"/>
          <w:sz w:val="22"/>
          <w:szCs w:val="22"/>
        </w:rPr>
        <w:t>1.2 pontos</w:t>
      </w:r>
      <w:r>
        <w:rPr>
          <w:rFonts w:ascii="Calibri" w:hAnsi="Calibri" w:cs="Calibri"/>
          <w:color w:val="1E293B"/>
          <w:sz w:val="22"/>
          <w:szCs w:val="22"/>
        </w:rPr>
        <w:t xml:space="preserve"> acima da posição atual da Empresa Teste Maturidade IA. Empresas de tecnologia de grande porte que operam em segmentos semelhantes ao da Empresa Teste Maturidade IA — desenvolvimento de software, plataformas SaaS, serviços de dados e consultoria tech — já atingiram esse patamar ao estruturar verticais de IA com modelos próprios fine-tuned para domínios específicos (jurídico, financeiro, RH, supply chain), comercializados via marketplace, APIs públicas ou contratos de licença. Um exemplo concreto é a </w:t>
      </w:r>
      <w:r>
        <w:rPr>
          <w:rStyle w:val="Forte"/>
          <w:rFonts w:ascii="Calibri" w:hAnsi="Calibri" w:cs="Calibri"/>
          <w:color w:val="1E293B"/>
          <w:sz w:val="22"/>
          <w:szCs w:val="22"/>
        </w:rPr>
        <w:t>Stefanini</w:t>
      </w:r>
      <w:r>
        <w:rPr>
          <w:rFonts w:ascii="Calibri" w:hAnsi="Calibri" w:cs="Calibri"/>
          <w:color w:val="1E293B"/>
          <w:sz w:val="22"/>
          <w:szCs w:val="22"/>
        </w:rPr>
        <w:t xml:space="preserve">, que criou a plataforma Sophie AI como produto autônomo vendido a clientes corporativos; a </w:t>
      </w:r>
      <w:r>
        <w:rPr>
          <w:rStyle w:val="Forte"/>
          <w:rFonts w:ascii="Calibri" w:hAnsi="Calibri" w:cs="Calibri"/>
          <w:color w:val="1E293B"/>
          <w:sz w:val="22"/>
          <w:szCs w:val="22"/>
        </w:rPr>
        <w:t>CI&amp;T</w:t>
      </w:r>
      <w:r>
        <w:rPr>
          <w:rFonts w:ascii="Calibri" w:hAnsi="Calibri" w:cs="Calibri"/>
          <w:color w:val="1E293B"/>
          <w:sz w:val="22"/>
          <w:szCs w:val="22"/>
        </w:rPr>
        <w:t xml:space="preserve">, que monetiza IA generativa em sua oferta de product engineering com precificação baseada em produtividade entregue; e a </w:t>
      </w:r>
      <w:r>
        <w:rPr>
          <w:rStyle w:val="Forte"/>
          <w:rFonts w:ascii="Calibri" w:hAnsi="Calibri" w:cs="Calibri"/>
          <w:color w:val="1E293B"/>
          <w:sz w:val="22"/>
          <w:szCs w:val="22"/>
        </w:rPr>
        <w:t>Itaú Unibanco no lado fintech</w:t>
      </w:r>
      <w:r>
        <w:rPr>
          <w:rFonts w:ascii="Calibri" w:hAnsi="Calibri" w:cs="Calibri"/>
          <w:color w:val="1E293B"/>
          <w:sz w:val="22"/>
          <w:szCs w:val="22"/>
        </w:rPr>
        <w:t>, que licencia seus modelos de crédito e antifraude para terceiros via APIs. A Empresa Teste Maturidade IA encontra-se hoje onde essas empresas estavam entre 2020 e 2021 — com capacidade técnica latente, mas sem o modelo comercial e os ativos de IP necessários para transformar essa capacidade em receita escalável.</w:t>
      </w:r>
    </w:p>
    <w:p w14:paraId="66BEEB5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CE99DB1">
          <v:rect id="_x0000_i1088" alt="" style="width:425.2pt;height:.05pt;mso-width-percent:0;mso-height-percent:0;mso-width-percent:0;mso-height-percent:0" o:hralign="center" o:hrstd="t" o:hr="t" fillcolor="#a0a0a0" stroked="f"/>
        </w:pict>
      </w:r>
    </w:p>
    <w:p w14:paraId="4558566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3.13.5 Recomendações Específicas</w:t>
      </w:r>
    </w:p>
    <w:p w14:paraId="68F7A4C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Estruturar um Produto Mínimo Viável de AIaaS com Pricing por Valor</w:t>
      </w:r>
    </w:p>
    <w:p w14:paraId="7F794DB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Empresa Teste Maturidade IA deve identificar as capacidades de IA já desenvolvidas internamente (modelos de NLP, pipelines de dados, automação cognitiva) e empacotar ao menos </w:t>
      </w:r>
      <w:r>
        <w:rPr>
          <w:rStyle w:val="Forte"/>
          <w:rFonts w:ascii="Calibri" w:hAnsi="Calibri" w:cs="Calibri"/>
          <w:color w:val="1E293B"/>
          <w:sz w:val="22"/>
          <w:szCs w:val="22"/>
        </w:rPr>
        <w:t>uma oferta de AIaaS</w:t>
      </w:r>
      <w:r>
        <w:rPr>
          <w:rFonts w:ascii="Calibri" w:hAnsi="Calibri" w:cs="Calibri"/>
          <w:color w:val="1E293B"/>
          <w:sz w:val="22"/>
          <w:szCs w:val="22"/>
        </w:rPr>
        <w:t xml:space="preserve"> com documentação de API, SLA definido e modelo de precificação baseado em consumo ou resultado (ex.: custo por inferência, por documento processado, por lead qualificado). O </w:t>
      </w:r>
      <w:r>
        <w:rPr>
          <w:rStyle w:val="Forte"/>
          <w:rFonts w:ascii="Calibri" w:hAnsi="Calibri" w:cs="Calibri"/>
          <w:color w:val="1E293B"/>
          <w:sz w:val="22"/>
          <w:szCs w:val="22"/>
        </w:rPr>
        <w:t>Playbook Atlas</w:t>
      </w:r>
      <w:r>
        <w:rPr>
          <w:rFonts w:ascii="Calibri" w:hAnsi="Calibri" w:cs="Calibri"/>
          <w:color w:val="1E293B"/>
          <w:sz w:val="22"/>
          <w:szCs w:val="22"/>
        </w:rPr>
        <w:t xml:space="preserve"> oferece o blueprint </w:t>
      </w:r>
      <w:r>
        <w:rPr>
          <w:rStyle w:val="nfase"/>
          <w:rFonts w:ascii="Calibri" w:hAnsi="Calibri" w:cs="Calibri"/>
          <w:color w:val="1E293B"/>
          <w:sz w:val="22"/>
          <w:szCs w:val="22"/>
        </w:rPr>
        <w:t>AI Product Packaging Engine</w:t>
      </w:r>
      <w:r>
        <w:rPr>
          <w:rFonts w:ascii="Calibri" w:hAnsi="Calibri" w:cs="Calibri"/>
          <w:color w:val="1E293B"/>
          <w:sz w:val="22"/>
          <w:szCs w:val="22"/>
        </w:rPr>
        <w:t xml:space="preserve"> e o componente </w:t>
      </w:r>
      <w:r>
        <w:rPr>
          <w:rStyle w:val="nfase"/>
          <w:rFonts w:ascii="Calibri" w:hAnsi="Calibri" w:cs="Calibri"/>
          <w:color w:val="1E293B"/>
          <w:sz w:val="22"/>
          <w:szCs w:val="22"/>
        </w:rPr>
        <w:t>API Monetization Gateway</w:t>
      </w:r>
      <w:r>
        <w:rPr>
          <w:rFonts w:ascii="Calibri" w:hAnsi="Calibri" w:cs="Calibri"/>
          <w:color w:val="1E293B"/>
          <w:sz w:val="22"/>
          <w:szCs w:val="22"/>
        </w:rPr>
        <w:t xml:space="preserve"> para acelerar essa estruturação, incluindo templates de contrato de uso, painel de billing e monitoramento de SLA de modelos em produção. O modelo de referência é o da </w:t>
      </w:r>
      <w:r>
        <w:rPr>
          <w:rStyle w:val="Forte"/>
          <w:rFonts w:ascii="Calibri" w:hAnsi="Calibri" w:cs="Calibri"/>
          <w:color w:val="1E293B"/>
          <w:sz w:val="22"/>
          <w:szCs w:val="22"/>
        </w:rPr>
        <w:t>Neoway</w:t>
      </w:r>
      <w:r>
        <w:rPr>
          <w:rFonts w:ascii="Calibri" w:hAnsi="Calibri" w:cs="Calibri"/>
          <w:color w:val="1E293B"/>
          <w:sz w:val="22"/>
          <w:szCs w:val="22"/>
        </w:rPr>
        <w:t xml:space="preserve"> (hoje parte da B3), que transformou seu motor de enriquecimento de dados em API comercial consumida por fintechs e seguradoras.</w:t>
      </w:r>
    </w:p>
    <w:p w14:paraId="6BA6729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Programa de IP em IA: Fine-Tuning Proprietário e Registro de Ativos</w:t>
      </w:r>
    </w:p>
    <w:p w14:paraId="6B87DFDA"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endereçar o gap crítico de [Q5], a Empresa Teste Maturidade IA deve lançar um </w:t>
      </w:r>
      <w:r>
        <w:rPr>
          <w:rStyle w:val="Forte"/>
          <w:rFonts w:ascii="Calibri" w:hAnsi="Calibri" w:cs="Calibri"/>
          <w:color w:val="1E293B"/>
          <w:sz w:val="22"/>
          <w:szCs w:val="22"/>
        </w:rPr>
        <w:t>programa formal de proteção de propriedade intelectual em IA</w:t>
      </w:r>
      <w:r>
        <w:rPr>
          <w:rFonts w:ascii="Calibri" w:hAnsi="Calibri" w:cs="Calibri"/>
          <w:color w:val="1E293B"/>
          <w:sz w:val="22"/>
          <w:szCs w:val="22"/>
        </w:rPr>
        <w:t xml:space="preserve">, com três frentes: (i) fine-tuning de modelos fundacionais em dados proprietários de clientes (com contrato de data usage) para criar modelos verticais defensáveis; (ii) registro de software e metodologias junto ao INPI; (iii) documentação técnica de datasets curados como ativo de PI. O </w:t>
      </w:r>
      <w:r>
        <w:rPr>
          <w:rStyle w:val="Forte"/>
          <w:rFonts w:ascii="Calibri" w:hAnsi="Calibri" w:cs="Calibri"/>
          <w:color w:val="1E293B"/>
          <w:sz w:val="22"/>
          <w:szCs w:val="22"/>
        </w:rPr>
        <w:t>Playbook Atlas</w:t>
      </w:r>
      <w:r>
        <w:rPr>
          <w:rFonts w:ascii="Calibri" w:hAnsi="Calibri" w:cs="Calibri"/>
          <w:color w:val="1E293B"/>
          <w:sz w:val="22"/>
          <w:szCs w:val="22"/>
        </w:rPr>
        <w:t xml:space="preserve"> dispõe do acelerador </w:t>
      </w:r>
      <w:r>
        <w:rPr>
          <w:rStyle w:val="nfase"/>
          <w:rFonts w:ascii="Calibri" w:hAnsi="Calibri" w:cs="Calibri"/>
          <w:color w:val="1E293B"/>
          <w:sz w:val="22"/>
          <w:szCs w:val="22"/>
        </w:rPr>
        <w:t>Vertical LLM Fine-Tuning Pipeline</w:t>
      </w:r>
      <w:r>
        <w:rPr>
          <w:rFonts w:ascii="Calibri" w:hAnsi="Calibri" w:cs="Calibri"/>
          <w:color w:val="1E293B"/>
          <w:sz w:val="22"/>
          <w:szCs w:val="22"/>
        </w:rPr>
        <w:t xml:space="preserve"> com suporte a LoRA/QLoRA e versionamento de modelos via MLflow, reduzindo o time-to-IP de meses para semanas. A meta é ter ao menos </w:t>
      </w:r>
      <w:r>
        <w:rPr>
          <w:rStyle w:val="Forte"/>
          <w:rFonts w:ascii="Calibri" w:hAnsi="Calibri" w:cs="Calibri"/>
          <w:color w:val="1E293B"/>
          <w:sz w:val="22"/>
          <w:szCs w:val="22"/>
        </w:rPr>
        <w:t>dois modelos verticais proprietários</w:t>
      </w:r>
      <w:r>
        <w:rPr>
          <w:rFonts w:ascii="Calibri" w:hAnsi="Calibri" w:cs="Calibri"/>
          <w:color w:val="1E293B"/>
          <w:sz w:val="22"/>
          <w:szCs w:val="22"/>
        </w:rPr>
        <w:t xml:space="preserve"> catalogados e registráveis em 12 meses.</w:t>
      </w:r>
    </w:p>
    <w:p w14:paraId="56A3A0E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AI Sales Enablement: Capacitação e Toolkit Comercial</w:t>
      </w:r>
    </w:p>
    <w:p w14:paraId="5E60E81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gap em [Q6] exige um programa estruturado de </w:t>
      </w:r>
      <w:r>
        <w:rPr>
          <w:rStyle w:val="Forte"/>
          <w:rFonts w:ascii="Calibri" w:hAnsi="Calibri" w:cs="Calibri"/>
          <w:color w:val="1E293B"/>
          <w:sz w:val="22"/>
          <w:szCs w:val="22"/>
        </w:rPr>
        <w:t>habilitação do time comercial para venda consultiva de IA</w:t>
      </w:r>
      <w:r>
        <w:rPr>
          <w:rFonts w:ascii="Calibri" w:hAnsi="Calibri" w:cs="Calibri"/>
          <w:color w:val="1E293B"/>
          <w:sz w:val="22"/>
          <w:szCs w:val="22"/>
        </w:rPr>
        <w:t xml:space="preserve">, com três componentes: (i) treinamento técnico-comercial (40h) cobrindo fundamentos de ML, casos de uso por vertical e ROI de IA; (ii) desenvolvimento de </w:t>
      </w:r>
      <w:r>
        <w:rPr>
          <w:rStyle w:val="nfase"/>
          <w:rFonts w:ascii="Calibri" w:hAnsi="Calibri" w:cs="Calibri"/>
          <w:color w:val="1E293B"/>
          <w:sz w:val="22"/>
          <w:szCs w:val="22"/>
        </w:rPr>
        <w:t>battle cards</w:t>
      </w:r>
      <w:r>
        <w:rPr>
          <w:rFonts w:ascii="Calibri" w:hAnsi="Calibri" w:cs="Calibri"/>
          <w:color w:val="1E293B"/>
          <w:sz w:val="22"/>
          <w:szCs w:val="22"/>
        </w:rPr>
        <w:t xml:space="preserve"> com comparativos competitivos, calculadoras de ROI e scripts de descoberta de dor técnica; (iii) criação de uma biblioteca de PoVs (Proofs of Value) documentados com resultados reais de clientes. O </w:t>
      </w:r>
      <w:r>
        <w:rPr>
          <w:rStyle w:val="Forte"/>
          <w:rFonts w:ascii="Calibri" w:hAnsi="Calibri" w:cs="Calibri"/>
          <w:color w:val="1E293B"/>
          <w:sz w:val="22"/>
          <w:szCs w:val="22"/>
        </w:rPr>
        <w:t>Playbook Atlas</w:t>
      </w:r>
      <w:r>
        <w:rPr>
          <w:rFonts w:ascii="Calibri" w:hAnsi="Calibri" w:cs="Calibri"/>
          <w:color w:val="1E293B"/>
          <w:sz w:val="22"/>
          <w:szCs w:val="22"/>
        </w:rPr>
        <w:t xml:space="preserve"> oferece o módulo </w:t>
      </w:r>
      <w:r>
        <w:rPr>
          <w:rStyle w:val="nfase"/>
          <w:rFonts w:ascii="Calibri" w:hAnsi="Calibri" w:cs="Calibri"/>
          <w:color w:val="1E293B"/>
          <w:sz w:val="22"/>
          <w:szCs w:val="22"/>
        </w:rPr>
        <w:t>AI GTM Toolkit</w:t>
      </w:r>
      <w:r>
        <w:rPr>
          <w:rFonts w:ascii="Calibri" w:hAnsi="Calibri" w:cs="Calibri"/>
          <w:color w:val="1E293B"/>
          <w:sz w:val="22"/>
          <w:szCs w:val="22"/>
        </w:rPr>
        <w:t xml:space="preserve">, que inclui templates de discovery call para soluções de IA, frameworks de proposta de valor e playbooks de objeção técnica. Referência setorial: a </w:t>
      </w:r>
      <w:r>
        <w:rPr>
          <w:rStyle w:val="Forte"/>
          <w:rFonts w:ascii="Calibri" w:hAnsi="Calibri" w:cs="Calibri"/>
          <w:color w:val="1E293B"/>
          <w:sz w:val="22"/>
          <w:szCs w:val="22"/>
        </w:rPr>
        <w:t>Accenture Applied Intelligence</w:t>
      </w:r>
      <w:r>
        <w:rPr>
          <w:rFonts w:ascii="Calibri" w:hAnsi="Calibri" w:cs="Calibri"/>
          <w:color w:val="1E293B"/>
          <w:sz w:val="22"/>
          <w:szCs w:val="22"/>
        </w:rPr>
        <w:t xml:space="preserve"> treina seus consultores com certificações trimestrais em IA para garantir que a força de vendas fale a linguagem do CTO e do CDO do cliente simultaneamente.</w:t>
      </w:r>
    </w:p>
    <w:p w14:paraId="46B43483"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Rastreabilidade de Receita de IA: Criação de P&amp;L de IA</w:t>
      </w:r>
    </w:p>
    <w:p w14:paraId="0A4F58F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tornar [Q4] mensurável e gerenciável, a Empresa Teste Maturidade IA deve implementar um </w:t>
      </w:r>
      <w:r>
        <w:rPr>
          <w:rStyle w:val="Forte"/>
          <w:rFonts w:ascii="Calibri" w:hAnsi="Calibri" w:cs="Calibri"/>
          <w:color w:val="1E293B"/>
          <w:sz w:val="22"/>
          <w:szCs w:val="22"/>
        </w:rPr>
        <w:t>centro de resultado dedicado a IA</w:t>
      </w:r>
      <w:r>
        <w:rPr>
          <w:rFonts w:ascii="Calibri" w:hAnsi="Calibri" w:cs="Calibri"/>
          <w:color w:val="1E293B"/>
          <w:sz w:val="22"/>
          <w:szCs w:val="22"/>
        </w:rPr>
        <w:t xml:space="preserve"> — um AI P&amp;L — que rastreie receita diretamente atribuível a produtos e serviços de IA, separada dos contratos de serviços tradicionais. Isso envolve reclassificação contábil de contratos existentes, criação de SKUs de IA no sistema comercial (CRM/ERP) e definição de critérios de atribuição (ex.: contratos onde IA gera &gt;30% do valor entregue são classificados como "AI Revenue"). O </w:t>
      </w:r>
      <w:r>
        <w:rPr>
          <w:rStyle w:val="Forte"/>
          <w:rFonts w:ascii="Calibri" w:hAnsi="Calibri" w:cs="Calibri"/>
          <w:color w:val="1E293B"/>
          <w:sz w:val="22"/>
          <w:szCs w:val="22"/>
        </w:rPr>
        <w:t>Playbook Atlas</w:t>
      </w:r>
      <w:r>
        <w:rPr>
          <w:rFonts w:ascii="Calibri" w:hAnsi="Calibri" w:cs="Calibri"/>
          <w:color w:val="1E293B"/>
          <w:sz w:val="22"/>
          <w:szCs w:val="22"/>
        </w:rPr>
        <w:t xml:space="preserve"> disponibiliza o componente </w:t>
      </w:r>
      <w:r>
        <w:rPr>
          <w:rStyle w:val="nfase"/>
          <w:rFonts w:ascii="Calibri" w:hAnsi="Calibri" w:cs="Calibri"/>
          <w:color w:val="1E293B"/>
          <w:sz w:val="22"/>
          <w:szCs w:val="22"/>
        </w:rPr>
        <w:t>AI Revenue Attribution Model</w:t>
      </w:r>
      <w:r>
        <w:rPr>
          <w:rFonts w:ascii="Calibri" w:hAnsi="Calibri" w:cs="Calibri"/>
          <w:color w:val="1E293B"/>
          <w:sz w:val="22"/>
          <w:szCs w:val="22"/>
        </w:rPr>
        <w:t xml:space="preserve">, alinhado a práticas de </w:t>
      </w:r>
      <w:r>
        <w:rPr>
          <w:rStyle w:val="Forte"/>
          <w:rFonts w:ascii="Calibri" w:hAnsi="Calibri" w:cs="Calibri"/>
          <w:color w:val="1E293B"/>
          <w:sz w:val="22"/>
          <w:szCs w:val="22"/>
        </w:rPr>
        <w:t>FinOps para IA</w:t>
      </w:r>
      <w:r>
        <w:rPr>
          <w:rFonts w:ascii="Calibri" w:hAnsi="Calibri" w:cs="Calibri"/>
          <w:color w:val="1E293B"/>
          <w:sz w:val="22"/>
          <w:szCs w:val="22"/>
        </w:rPr>
        <w:t xml:space="preserve"> que separam custos de inferência, treinamento e plataforma por produto. Essa visibilidade é pré-requisito para decisões de investimento baseadas em retorno e para comunicação de tração com investidores e parceiros estratégicos.</w:t>
      </w:r>
    </w:p>
    <w:p w14:paraId="21159BC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CFEAAC6">
          <v:rect id="_x0000_i1087" alt="" style="width:425.2pt;height:.05pt;mso-width-percent:0;mso-height-percent:0;mso-width-percent:0;mso-height-percent:0" o:hralign="center" o:hrstd="t" o:hr="t" fillcolor="#a0a0a0" stroked="f"/>
        </w:pict>
      </w:r>
    </w:p>
    <w:p w14:paraId="55051DA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3.13.6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3256"/>
        <w:gridCol w:w="1642"/>
        <w:gridCol w:w="1847"/>
        <w:gridCol w:w="1743"/>
      </w:tblGrid>
      <w:tr w:rsidR="00000000" w14:paraId="4EA1DC0B" w14:textId="77777777">
        <w:trPr>
          <w:divId w:val="1479497373"/>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04F1750"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53E1FC5"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B559BE3"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E4A2CB5"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Meta 12 meses</w:t>
            </w:r>
          </w:p>
        </w:tc>
      </w:tr>
      <w:tr w:rsidR="00000000" w14:paraId="2EC3B380" w14:textId="77777777">
        <w:trPr>
          <w:divId w:val="147949737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8365F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da receita total atribuída diretamente a produtos/serviços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EC8C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5% (estimado, não rastreado)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ED6F26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1F17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w:t>
            </w:r>
          </w:p>
        </w:tc>
      </w:tr>
      <w:tr w:rsidR="00000000" w14:paraId="17225F1D" w14:textId="77777777">
        <w:trPr>
          <w:divId w:val="147949737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4C9F95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Número de ofertas de AIaaS formalizadas em portfólio</w:t>
            </w:r>
            <w:r>
              <w:rPr>
                <w:rFonts w:ascii="Calibri" w:eastAsia="Times New Roman" w:hAnsi="Calibri" w:cs="Calibri"/>
                <w:color w:val="1E293B"/>
                <w:sz w:val="21"/>
                <w:szCs w:val="21"/>
              </w:rPr>
              <w:t xml:space="preserve"> (com pricing, SLA e documentação de API publicada)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6E34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0–1 (não estruturado)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5D937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ofertas ativas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2C64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 ofertas ativas</w:t>
            </w:r>
          </w:p>
        </w:tc>
      </w:tr>
      <w:tr w:rsidR="00000000" w14:paraId="7388668A" w14:textId="77777777">
        <w:trPr>
          <w:divId w:val="147949737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CA79FF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Número de modelos proprietários registrados ou em processo de registro de PI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AFDA8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65F88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 modelo vertical fine-tuned documentado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A052C7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modelos registráveis + 1 dataset curado catalogado</w:t>
            </w:r>
          </w:p>
        </w:tc>
      </w:tr>
      <w:tr w:rsidR="00000000" w14:paraId="63447495" w14:textId="77777777">
        <w:trPr>
          <w:divId w:val="147949737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D29FA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dos vendedores/consultores com certificação em AI Sales Enablement</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54312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10%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9277E4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B241B9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75%</w:t>
            </w:r>
          </w:p>
        </w:tc>
      </w:tr>
      <w:tr w:rsidR="00000000" w14:paraId="17327097" w14:textId="77777777">
        <w:trPr>
          <w:divId w:val="147949737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395F7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conversão de PoV (Proof of Value) de IA em contrato comercial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0FD1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medido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1E474E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Baseline estabelecido (medir pipeline)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65F9F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35% de conversão PoV → contrato</w:t>
            </w:r>
          </w:p>
        </w:tc>
      </w:tr>
    </w:tbl>
    <w:p w14:paraId="051602C3"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3.14 Dimensão — Plataforma e Industrialização de IA — Score 2.14 · Nível 2</w:t>
      </w:r>
    </w:p>
    <w:p w14:paraId="3874A544"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3.14.1 Análise Diagnóstica</w:t>
      </w:r>
    </w:p>
    <w:p w14:paraId="6DF504E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dimensão de </w:t>
      </w:r>
      <w:r>
        <w:rPr>
          <w:rStyle w:val="Forte"/>
          <w:rFonts w:ascii="Calibri" w:hAnsi="Calibri" w:cs="Calibri"/>
          <w:color w:val="1E293B"/>
          <w:sz w:val="22"/>
          <w:szCs w:val="22"/>
        </w:rPr>
        <w:t>Plataforma e Industrialização de IA</w:t>
      </w:r>
      <w:r>
        <w:rPr>
          <w:rFonts w:ascii="Calibri" w:hAnsi="Calibri" w:cs="Calibri"/>
          <w:color w:val="1E293B"/>
          <w:sz w:val="22"/>
          <w:szCs w:val="22"/>
        </w:rPr>
        <w:t xml:space="preserve"> é, em essência, o teste de maturidade operacional mais revelador de uma organização de tecnologia: ela distingue empresas que fazem IA </w:t>
      </w:r>
      <w:r>
        <w:rPr>
          <w:rStyle w:val="nfase"/>
          <w:rFonts w:ascii="Calibri" w:hAnsi="Calibri" w:cs="Calibri"/>
          <w:color w:val="1E293B"/>
          <w:sz w:val="22"/>
          <w:szCs w:val="22"/>
        </w:rPr>
        <w:t>em laboratório</w:t>
      </w:r>
      <w:r>
        <w:rPr>
          <w:rFonts w:ascii="Calibri" w:hAnsi="Calibri" w:cs="Calibri"/>
          <w:color w:val="1E293B"/>
          <w:sz w:val="22"/>
          <w:szCs w:val="22"/>
        </w:rPr>
        <w:t xml:space="preserve"> daquelas que fazem IA </w:t>
      </w:r>
      <w:r>
        <w:rPr>
          <w:rStyle w:val="nfase"/>
          <w:rFonts w:ascii="Calibri" w:hAnsi="Calibri" w:cs="Calibri"/>
          <w:color w:val="1E293B"/>
          <w:sz w:val="22"/>
          <w:szCs w:val="22"/>
        </w:rPr>
        <w:t>em produção, em escala, com impacto mensurável</w:t>
      </w:r>
      <w:r>
        <w:rPr>
          <w:rFonts w:ascii="Calibri" w:hAnsi="Calibri" w:cs="Calibri"/>
          <w:color w:val="1E293B"/>
          <w:sz w:val="22"/>
          <w:szCs w:val="22"/>
        </w:rPr>
        <w:t xml:space="preserve">. O score consolidado desta dimensão — aproximadamente </w:t>
      </w:r>
      <w:r>
        <w:rPr>
          <w:rStyle w:val="Forte"/>
          <w:rFonts w:ascii="Calibri" w:hAnsi="Calibri" w:cs="Calibri"/>
          <w:color w:val="1E293B"/>
          <w:sz w:val="22"/>
          <w:szCs w:val="22"/>
        </w:rPr>
        <w:t>2,16</w:t>
      </w:r>
      <w:r>
        <w:rPr>
          <w:rFonts w:ascii="Calibri" w:hAnsi="Calibri" w:cs="Calibri"/>
          <w:color w:val="1E293B"/>
          <w:sz w:val="22"/>
          <w:szCs w:val="22"/>
        </w:rPr>
        <w:t xml:space="preserve"> (média ponderada das oito questões) — posiciona a Empresa Teste Maturidade IA em um patamar que o MIT CISR classifica como estágio </w:t>
      </w:r>
      <w:r>
        <w:rPr>
          <w:rStyle w:val="Forte"/>
          <w:rFonts w:ascii="Calibri" w:hAnsi="Calibri" w:cs="Calibri"/>
          <w:color w:val="1E293B"/>
          <w:sz w:val="22"/>
          <w:szCs w:val="22"/>
        </w:rPr>
        <w:t>"Build Pilots and Capabilities"</w:t>
      </w:r>
      <w:r>
        <w:rPr>
          <w:rFonts w:ascii="Calibri" w:hAnsi="Calibri" w:cs="Calibri"/>
          <w:color w:val="1E293B"/>
          <w:sz w:val="22"/>
          <w:szCs w:val="22"/>
        </w:rPr>
        <w:t xml:space="preserve"> (Estágio 2), com sinais claros de que a transição para o Estágio 3 ("Develop AI Ways of Working") ainda exige investimento estrutural significativo. O padrão de respostas é internamente coerente: há esforços pontuais de padronização e alguma capacidade de deploy razoável [Q4: 2.75], mas esses avanços isolados coexistem com lacunas profundas em orquestração de ponta a ponta [Q6: 1.71], quantificação de impacto econômico [Q8: 1.63] e volume de experimentação sistemática [Q7: 1.88].</w:t>
      </w:r>
    </w:p>
    <w:p w14:paraId="6BCA250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diagnóstico mais preocupante emerge da combinação entre [Q1] e [Q2] — ambas pontuadas em 2.38. A Empresa Teste Maturidade IA possui infraestrutura nascente de plataforma centralizada, mas a ausência de arquitetura madura de reuso de modelos e componentes indica que cada squad ou projeto tende a reconstruir artefatos de IA do zero: feature stores não compartilhadas, pipelines de pré-processamento duplicados, wrappers de inferência reinventados projeto a projeto. Para uma empresa de tecnologia que atende clientes de múltiplos setores — e portanto replica casos de uso similares (scoring, NLP, forecasting) em contextos diferentes — essa fragmentação equivale a um </w:t>
      </w:r>
      <w:r>
        <w:rPr>
          <w:rStyle w:val="Forte"/>
          <w:rFonts w:ascii="Calibri" w:hAnsi="Calibri" w:cs="Calibri"/>
          <w:color w:val="1E293B"/>
          <w:sz w:val="22"/>
          <w:szCs w:val="22"/>
        </w:rPr>
        <w:t>custo oculto de escala reversa</w:t>
      </w:r>
      <w:r>
        <w:rPr>
          <w:rFonts w:ascii="Calibri" w:hAnsi="Calibri" w:cs="Calibri"/>
          <w:color w:val="1E293B"/>
          <w:sz w:val="22"/>
          <w:szCs w:val="22"/>
        </w:rPr>
        <w:t>: quanto mais projetos, mais dívida técnica acumulada. O score de [Q3 = 2.00] reforça o diagnóstico: os produtos de IA entregues ainda não se conectam a dashboards de valor de negócio em tempo real, o que significa que os benefícios gerados para clientes ou internamente estão sendo capturados de forma anedótica, não sistemática.</w:t>
      </w:r>
    </w:p>
    <w:p w14:paraId="44FA606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piso da dimensão está em [Q6: 1.71] — orquestração de pipelines de dados e ML de ponta a ponta — e em [Q8: 1.63] — impacto econômico quantificado. Esses dois indicadores são estruturalmente interdependentes: sem pipelines orquestrados, os ciclos de retreinamento, validação e deploy dependem de intervenção manual, o que torna virtualmente impossível medir com precisão o volume de inferências produtivas, a degradação de modelos em produção e, consequentemente, o valor gerado. Em empresas de tecnologia como Nubank, Totvs e CI&amp;T — que competem no mesmo mercado de talentos e clientes que a Empresa Teste Maturidade IA — a orquestração via plataformas como </w:t>
      </w:r>
      <w:r>
        <w:rPr>
          <w:rStyle w:val="Forte"/>
          <w:rFonts w:ascii="Calibri" w:hAnsi="Calibri" w:cs="Calibri"/>
          <w:color w:val="1E293B"/>
          <w:sz w:val="22"/>
          <w:szCs w:val="22"/>
        </w:rPr>
        <w:t>Kubeflow</w:t>
      </w:r>
      <w:r>
        <w:rPr>
          <w:rFonts w:ascii="Calibri" w:hAnsi="Calibri" w:cs="Calibri"/>
          <w:color w:val="1E293B"/>
          <w:sz w:val="22"/>
          <w:szCs w:val="22"/>
        </w:rPr>
        <w:t xml:space="preserve">, </w:t>
      </w:r>
      <w:r>
        <w:rPr>
          <w:rStyle w:val="Forte"/>
          <w:rFonts w:ascii="Calibri" w:hAnsi="Calibri" w:cs="Calibri"/>
          <w:color w:val="1E293B"/>
          <w:sz w:val="22"/>
          <w:szCs w:val="22"/>
        </w:rPr>
        <w:t>MLflow com backend unificado</w:t>
      </w:r>
      <w:r>
        <w:rPr>
          <w:rFonts w:ascii="Calibri" w:hAnsi="Calibri" w:cs="Calibri"/>
          <w:color w:val="1E293B"/>
          <w:sz w:val="22"/>
          <w:szCs w:val="22"/>
        </w:rPr>
        <w:t xml:space="preserve"> ou </w:t>
      </w:r>
      <w:r>
        <w:rPr>
          <w:rStyle w:val="Forte"/>
          <w:rFonts w:ascii="Calibri" w:hAnsi="Calibri" w:cs="Calibri"/>
          <w:color w:val="1E293B"/>
          <w:sz w:val="22"/>
          <w:szCs w:val="22"/>
        </w:rPr>
        <w:t>Vertex AI Pipelines</w:t>
      </w:r>
      <w:r>
        <w:rPr>
          <w:rFonts w:ascii="Calibri" w:hAnsi="Calibri" w:cs="Calibri"/>
          <w:color w:val="1E293B"/>
          <w:sz w:val="22"/>
          <w:szCs w:val="22"/>
        </w:rPr>
        <w:t xml:space="preserve"> já é prática consolidada no Estágio 3, permitindo que equipes publiquem modelos em ciclos contínuos e rastreiem ROI por caso de uso em dashboards integrados ao CRM e ao ERP dos clientes.</w:t>
      </w:r>
    </w:p>
    <w:p w14:paraId="5451C69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9FE912B">
          <v:rect id="_x0000_i1086" alt="" style="width:425.2pt;height:.05pt;mso-width-percent:0;mso-height-percent:0;mso-width-percent:0;mso-height-percent:0" o:hralign="center" o:hrstd="t" o:hr="t" fillcolor="#a0a0a0" stroked="f"/>
        </w:pict>
      </w:r>
    </w:p>
    <w:p w14:paraId="603D0B1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3.14.2 Evidências Críticas</w:t>
      </w:r>
    </w:p>
    <w:p w14:paraId="20DE4E1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pressionaram o score para baixo:</w:t>
      </w:r>
    </w:p>
    <w:p w14:paraId="0B6683B4" w14:textId="77777777" w:rsidR="00000000" w:rsidRDefault="00000000">
      <w:pPr>
        <w:numPr>
          <w:ilvl w:val="0"/>
          <w:numId w:val="3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[Q8 = 1.63 — Impacto econômico total quantificado]</w:t>
      </w:r>
      <w:r>
        <w:rPr>
          <w:rFonts w:ascii="Calibri" w:eastAsia="Times New Roman" w:hAnsi="Calibri" w:cs="Calibri"/>
          <w:color w:val="1E293B"/>
          <w:sz w:val="22"/>
          <w:szCs w:val="22"/>
        </w:rPr>
        <w:t>: Pontuação mais baixa da dimensão. Indica ausência de framework financeiro para medir retorno de projetos de IA — sem atribuição de valor por modelo em produção, a narrativa de ROI para liderança e clientes é qualitativa e frágil.</w:t>
      </w:r>
    </w:p>
    <w:p w14:paraId="76D73E78" w14:textId="77777777" w:rsidR="00000000" w:rsidRDefault="00000000">
      <w:pPr>
        <w:numPr>
          <w:ilvl w:val="0"/>
          <w:numId w:val="3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 1.71 — Orquestração de pipelines de ponta a ponta]</w:t>
      </w:r>
      <w:r>
        <w:rPr>
          <w:rFonts w:ascii="Calibri" w:eastAsia="Times New Roman" w:hAnsi="Calibri" w:cs="Calibri"/>
          <w:color w:val="1E293B"/>
          <w:sz w:val="22"/>
          <w:szCs w:val="22"/>
        </w:rPr>
        <w:t>: O segundo piso crítico. Sem MLOps automatizado, cada ciclo de retreinamento e deploy é um esforço manual, com alto risco de inconsistências entre ambiente de desenvolvimento e produção (</w:t>
      </w:r>
      <w:r>
        <w:rPr>
          <w:rStyle w:val="nfase"/>
          <w:rFonts w:ascii="Calibri" w:eastAsia="Times New Roman" w:hAnsi="Calibri" w:cs="Calibri"/>
          <w:color w:val="1E293B"/>
          <w:sz w:val="22"/>
          <w:szCs w:val="22"/>
        </w:rPr>
        <w:t>train-serve skew</w:t>
      </w:r>
      <w:r>
        <w:rPr>
          <w:rFonts w:ascii="Calibri" w:eastAsia="Times New Roman" w:hAnsi="Calibri" w:cs="Calibri"/>
          <w:color w:val="1E293B"/>
          <w:sz w:val="22"/>
          <w:szCs w:val="22"/>
        </w:rPr>
        <w:t>).</w:t>
      </w:r>
    </w:p>
    <w:p w14:paraId="3A8476A2" w14:textId="77777777" w:rsidR="00000000" w:rsidRDefault="00000000">
      <w:pPr>
        <w:numPr>
          <w:ilvl w:val="0"/>
          <w:numId w:val="3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[Q7 = 1.88 — Volume de experimentos/PoCs por ano]</w:t>
      </w:r>
      <w:r>
        <w:rPr>
          <w:rFonts w:ascii="Calibri" w:eastAsia="Times New Roman" w:hAnsi="Calibri" w:cs="Calibri"/>
          <w:color w:val="1E293B"/>
          <w:sz w:val="22"/>
          <w:szCs w:val="22"/>
        </w:rPr>
        <w:t>: Score baixo para uma empresa de tecnologia — sinaliza que a cultura de experimentação rápida e sistemática ainda não foi institucionalizada; experimentos provavelmente ocorrem dentro de projetos de clientes específicos, não como capacidade organizacional autônoma.</w:t>
      </w:r>
    </w:p>
    <w:p w14:paraId="06C7F40E" w14:textId="77777777" w:rsidR="00000000" w:rsidRDefault="00000000">
      <w:pPr>
        <w:numPr>
          <w:ilvl w:val="0"/>
          <w:numId w:val="3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 2.00 — Dashboards de negócio em tempo real]</w:t>
      </w:r>
      <w:r>
        <w:rPr>
          <w:rFonts w:ascii="Calibri" w:eastAsia="Times New Roman" w:hAnsi="Calibri" w:cs="Calibri"/>
          <w:color w:val="1E293B"/>
          <w:sz w:val="22"/>
          <w:szCs w:val="22"/>
        </w:rPr>
        <w:t>: A ausência de observabilidade de valor impede que gestores de produto e executivos tomem decisões baseadas em desempenho real dos modelos versus KPIs de negócio.</w:t>
      </w:r>
    </w:p>
    <w:p w14:paraId="3FEA705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sustentaram o score acima do mínimo:</w:t>
      </w:r>
    </w:p>
    <w:p w14:paraId="1FE47660" w14:textId="77777777" w:rsidR="00000000" w:rsidRDefault="00000000">
      <w:pPr>
        <w:numPr>
          <w:ilvl w:val="0"/>
          <w:numId w:val="3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 2.75 — Capacidade de colocar modelos em produção em dias]</w:t>
      </w:r>
      <w:r>
        <w:rPr>
          <w:rFonts w:ascii="Calibri" w:eastAsia="Times New Roman" w:hAnsi="Calibri" w:cs="Calibri"/>
          <w:color w:val="1E293B"/>
          <w:sz w:val="22"/>
          <w:szCs w:val="22"/>
        </w:rPr>
        <w:t>: Ponto mais alto da dimensão, indicando que há algum pipeline de CI/CD para IA em funcionamento — possivelmente em squads específicos com maior maturidade técnica.</w:t>
      </w:r>
    </w:p>
    <w:p w14:paraId="1A9E0044" w14:textId="77777777" w:rsidR="00000000" w:rsidRDefault="00000000">
      <w:pPr>
        <w:numPr>
          <w:ilvl w:val="0"/>
          <w:numId w:val="3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 2.38] e [Q2 = 2.38] e [Q5 = 2.38 — Plataforma centralizada, reuso e padronização]</w:t>
      </w:r>
      <w:r>
        <w:rPr>
          <w:rFonts w:ascii="Calibri" w:eastAsia="Times New Roman" w:hAnsi="Calibri" w:cs="Calibri"/>
          <w:color w:val="1E293B"/>
          <w:sz w:val="22"/>
          <w:szCs w:val="22"/>
        </w:rPr>
        <w:t>: Scores idênticos sugerem um esforço inicial coerente de padronização (provável adoção de um conjunto de ferramentas comum, ex.: repositório de modelos, stack Python unificada), mas ainda sem governança ou arquitetura consolidada que garanta reuso efetivo entre times e projetos.</w:t>
      </w:r>
    </w:p>
    <w:p w14:paraId="3A7CFDC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E69337B">
          <v:rect id="_x0000_i1085" alt="" style="width:425.2pt;height:.05pt;mso-width-percent:0;mso-height-percent:0;mso-width-percent:0;mso-height-percent:0" o:hralign="center" o:hrstd="t" o:hr="t" fillcolor="#a0a0a0" stroked="f"/>
        </w:pict>
      </w:r>
    </w:p>
    <w:p w14:paraId="68219E27"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3.14.3 Risco de Negócio</w:t>
      </w:r>
    </w:p>
    <w:p w14:paraId="6CBD219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uma empresa de tecnologia que comercializa serviços e soluções de IA para terceiros, a </w:t>
      </w:r>
      <w:r>
        <w:rPr>
          <w:rStyle w:val="Forte"/>
          <w:rFonts w:ascii="Calibri" w:hAnsi="Calibri" w:cs="Calibri"/>
          <w:color w:val="1E293B"/>
          <w:sz w:val="22"/>
          <w:szCs w:val="22"/>
        </w:rPr>
        <w:t>ausência de industrialização da plataforma é simultaneamente um risco de competitividade e um risco de credibilidade contratual</w:t>
      </w:r>
      <w:r>
        <w:rPr>
          <w:rFonts w:ascii="Calibri" w:hAnsi="Calibri" w:cs="Calibri"/>
          <w:color w:val="1E293B"/>
          <w:sz w:val="22"/>
          <w:szCs w:val="22"/>
        </w:rPr>
        <w:t>. Quando um cliente corporativo contrata a Empresa Teste Maturidade IA para desenvolver e operar modelos de IA em produção, ele pressupõe implicitamente que existe uma infraestrutura MLOps capaz de garantir SLAs de latência, janelas de retreinamento, rastreabilidade de versões e rollback seguro — exatamente as capacidades que os scores de [Q6], [Q7] e [Q8] indicam como incipientes. Na prática, isso significa que projetos de IA entregues hoje dependem de engenharia heroica de indivíduos-chave em vez de plataforma resiliente: qualquer turnover em posições críticas pode paralisar operações de modelos em produção de clientes, gerar violações de SLA e abrir precedente para penalidades contratuais ou churn de contas estratégicas. Adicionalmente, sem quantificação sistemática de impacto econômico [Q8 = 1.63], a Empresa Teste Maturidade IA perde poder de negociação em renovações e expansões de contrato — competidores que documentam ROI comprovado de IA (ex.: redução de X% em chargeback, aumento de Y% em conversão) vencem RFPs com narrativa de valor muito mais convincente do que portfólios baseados em evidências anedóticas.</w:t>
      </w:r>
    </w:p>
    <w:p w14:paraId="2EBEC5D9"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C0F5FAA">
          <v:rect id="_x0000_i1084" alt="" style="width:425.2pt;height:.05pt;mso-width-percent:0;mso-height-percent:0;mso-width-percent:0;mso-height-percent:0" o:hralign="center" o:hrstd="t" o:hr="t" fillcolor="#a0a0a0" stroked="f"/>
        </w:pict>
      </w:r>
    </w:p>
    <w:p w14:paraId="67B8D27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3.14.4 Benchmark Setorial</w:t>
      </w:r>
    </w:p>
    <w:p w14:paraId="386E5D9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setor de tecnologia, empresas de porte equivalente ao da Empresa Teste Maturidade IA que atuam como </w:t>
      </w:r>
      <w:r>
        <w:rPr>
          <w:rStyle w:val="nfase"/>
          <w:rFonts w:ascii="Calibri" w:hAnsi="Calibri" w:cs="Calibri"/>
          <w:color w:val="1E293B"/>
          <w:sz w:val="22"/>
          <w:szCs w:val="22"/>
        </w:rPr>
        <w:t>AI-native service providers</w:t>
      </w:r>
      <w:r>
        <w:rPr>
          <w:rFonts w:ascii="Calibri" w:hAnsi="Calibri" w:cs="Calibri"/>
          <w:color w:val="1E293B"/>
          <w:sz w:val="22"/>
          <w:szCs w:val="22"/>
        </w:rPr>
        <w:t xml:space="preserve"> ou </w:t>
      </w:r>
      <w:r>
        <w:rPr>
          <w:rStyle w:val="nfase"/>
          <w:rFonts w:ascii="Calibri" w:hAnsi="Calibri" w:cs="Calibri"/>
          <w:color w:val="1E293B"/>
          <w:sz w:val="22"/>
          <w:szCs w:val="22"/>
        </w:rPr>
        <w:t>tech consultancies com prática de IA</w:t>
      </w:r>
      <w:r>
        <w:rPr>
          <w:rFonts w:ascii="Calibri" w:hAnsi="Calibri" w:cs="Calibri"/>
          <w:color w:val="1E293B"/>
          <w:sz w:val="22"/>
          <w:szCs w:val="22"/>
        </w:rPr>
        <w:t xml:space="preserve"> operam, em média, no </w:t>
      </w:r>
      <w:r>
        <w:rPr>
          <w:rStyle w:val="Forte"/>
          <w:rFonts w:ascii="Calibri" w:hAnsi="Calibri" w:cs="Calibri"/>
          <w:color w:val="1E293B"/>
          <w:sz w:val="22"/>
          <w:szCs w:val="22"/>
        </w:rPr>
        <w:t>Estágio 3 do MIT CISR</w:t>
      </w:r>
      <w:r>
        <w:rPr>
          <w:rFonts w:ascii="Calibri" w:hAnsi="Calibri" w:cs="Calibri"/>
          <w:color w:val="1E293B"/>
          <w:sz w:val="22"/>
          <w:szCs w:val="22"/>
        </w:rPr>
        <w:t xml:space="preserve"> — correspondente a scores entre 3.0 e 4.0 nas dimensões de plataforma e MLOps — segundo os benchmarks do Research Briefing "Grow Enterprise AI Maturity" (MIT CISR, 2025). A média setorial de </w:t>
      </w:r>
      <w:r>
        <w:rPr>
          <w:rStyle w:val="Forte"/>
          <w:rFonts w:ascii="Calibri" w:hAnsi="Calibri" w:cs="Calibri"/>
          <w:color w:val="1E293B"/>
          <w:sz w:val="22"/>
          <w:szCs w:val="22"/>
        </w:rPr>
        <w:t>3.5</w:t>
      </w:r>
      <w:r>
        <w:rPr>
          <w:rFonts w:ascii="Calibri" w:hAnsi="Calibri" w:cs="Calibri"/>
          <w:color w:val="1E293B"/>
          <w:sz w:val="22"/>
          <w:szCs w:val="22"/>
        </w:rPr>
        <w:t xml:space="preserve"> nesta dimensão reflete que players como CI&amp;T, Stefanini, Sinqia (pós-aquisição) e competidores globais como Thoughtworks já consolidaram pipelines de MLOps automatizados, feature stores corporativas e frameworks de medição de ROI de IA integrados aos seus modelos de engajamento com clientes. A Empresa Teste Maturidade IA, com score aproximado de </w:t>
      </w:r>
      <w:r>
        <w:rPr>
          <w:rStyle w:val="Forte"/>
          <w:rFonts w:ascii="Calibri" w:hAnsi="Calibri" w:cs="Calibri"/>
          <w:color w:val="1E293B"/>
          <w:sz w:val="22"/>
          <w:szCs w:val="22"/>
        </w:rPr>
        <w:t>2.16 nesta dimensão</w:t>
      </w:r>
      <w:r>
        <w:rPr>
          <w:rFonts w:ascii="Calibri" w:hAnsi="Calibri" w:cs="Calibri"/>
          <w:color w:val="1E293B"/>
          <w:sz w:val="22"/>
          <w:szCs w:val="22"/>
        </w:rPr>
        <w:t xml:space="preserve">, está </w:t>
      </w:r>
      <w:r>
        <w:rPr>
          <w:rStyle w:val="Forte"/>
          <w:rFonts w:ascii="Calibri" w:hAnsi="Calibri" w:cs="Calibri"/>
          <w:color w:val="1E293B"/>
          <w:sz w:val="22"/>
          <w:szCs w:val="22"/>
        </w:rPr>
        <w:t>1.34 pontos abaixo da média setorial</w:t>
      </w:r>
      <w:r>
        <w:rPr>
          <w:rFonts w:ascii="Calibri" w:hAnsi="Calibri" w:cs="Calibri"/>
          <w:color w:val="1E293B"/>
          <w:sz w:val="22"/>
          <w:szCs w:val="22"/>
        </w:rPr>
        <w:t xml:space="preserve"> — uma lacuna que, no contexto de industrialização de IA, não é apenas técnica, mas também </w:t>
      </w:r>
      <w:r>
        <w:rPr>
          <w:rStyle w:val="Forte"/>
          <w:rFonts w:ascii="Calibri" w:hAnsi="Calibri" w:cs="Calibri"/>
          <w:color w:val="1E293B"/>
          <w:sz w:val="22"/>
          <w:szCs w:val="22"/>
        </w:rPr>
        <w:t>comercial</w:t>
      </w:r>
      <w:r>
        <w:rPr>
          <w:rFonts w:ascii="Calibri" w:hAnsi="Calibri" w:cs="Calibri"/>
          <w:color w:val="1E293B"/>
          <w:sz w:val="22"/>
          <w:szCs w:val="22"/>
        </w:rPr>
        <w:t xml:space="preserve">: clientes maduros em IA (bancos, varejistas, healthtechs) estão migrando para fornecedores que consigam demonstrar plataforma de IA operacional como parte do SLA, não apenas como diferencial de proposta. O risco de </w:t>
      </w:r>
      <w:r>
        <w:rPr>
          <w:rStyle w:val="nfase"/>
          <w:rFonts w:ascii="Calibri" w:hAnsi="Calibri" w:cs="Calibri"/>
          <w:color w:val="1E293B"/>
          <w:sz w:val="22"/>
          <w:szCs w:val="22"/>
        </w:rPr>
        <w:t>commoditização</w:t>
      </w:r>
      <w:r>
        <w:rPr>
          <w:rFonts w:ascii="Calibri" w:hAnsi="Calibri" w:cs="Calibri"/>
          <w:color w:val="1E293B"/>
          <w:sz w:val="22"/>
          <w:szCs w:val="22"/>
        </w:rPr>
        <w:t xml:space="preserve"> de serviços sem plataforma é real: sem industrialização, a Empresa Teste Maturidade IA compete por preço e horas; com plataforma, poderia competir por outcomes e valor recorrente.</w:t>
      </w:r>
    </w:p>
    <w:p w14:paraId="7D09658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CA3C1DD">
          <v:rect id="_x0000_i1083" alt="" style="width:425.2pt;height:.05pt;mso-width-percent:0;mso-height-percent:0;mso-width-percent:0;mso-height-percent:0" o:hralign="center" o:hrstd="t" o:hr="t" fillcolor="#a0a0a0" stroked="f"/>
        </w:pict>
      </w:r>
    </w:p>
    <w:p w14:paraId="6C8A1AE1"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3.14.5 Recomendações Específicas</w:t>
      </w:r>
    </w:p>
    <w:p w14:paraId="0936143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Implementar uma Internal Developer Platform (IDP) de IA com MLflow + Kubeflow Pipelines</w:t>
      </w:r>
    </w:p>
    <w:p w14:paraId="7AB239C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gap mais crítico ([Q6: 1.71]) exige implementação de orquestração de pipelines ML de ponta a ponta. A Empresa Teste Maturidade IA deve adotar o </w:t>
      </w:r>
      <w:r>
        <w:rPr>
          <w:rStyle w:val="Forte"/>
          <w:rFonts w:ascii="Calibri" w:hAnsi="Calibri" w:cs="Calibri"/>
          <w:color w:val="1E293B"/>
          <w:sz w:val="22"/>
          <w:szCs w:val="22"/>
        </w:rPr>
        <w:t>Playbook Atlas — Blueprint "MLOps Core Stack"</w:t>
      </w:r>
      <w:r>
        <w:rPr>
          <w:rFonts w:ascii="Calibri" w:hAnsi="Calibri" w:cs="Calibri"/>
          <w:color w:val="1E293B"/>
          <w:sz w:val="22"/>
          <w:szCs w:val="22"/>
        </w:rPr>
        <w:t xml:space="preserve"> (Motor de Treinamento Contínuo + Registro de Modelos + Gateway de Inferência), integrando MLflow para rastreamento de experimentos e versionamento de modelos, Kubeflow Pipelines (ou Argo Workflows) para orquestração de DAGs de dados e ML, e um </w:t>
      </w:r>
      <w:r>
        <w:rPr>
          <w:rStyle w:val="Forte"/>
          <w:rFonts w:ascii="Calibri" w:hAnsi="Calibri" w:cs="Calibri"/>
          <w:color w:val="1E293B"/>
          <w:sz w:val="22"/>
          <w:szCs w:val="22"/>
        </w:rPr>
        <w:t>Model Registry centralizado</w:t>
      </w:r>
      <w:r>
        <w:rPr>
          <w:rFonts w:ascii="Calibri" w:hAnsi="Calibri" w:cs="Calibri"/>
          <w:color w:val="1E293B"/>
          <w:sz w:val="22"/>
          <w:szCs w:val="22"/>
        </w:rPr>
        <w:t xml:space="preserve"> acessível por todos os squads. O objetivo é transformar o deploy de modelos de um processo artesanal em um pipeline de CI/CD comparável ao que a empresa já pratica para software — </w:t>
      </w:r>
      <w:r>
        <w:rPr>
          <w:rStyle w:val="nfase"/>
          <w:rFonts w:ascii="Calibri" w:hAnsi="Calibri" w:cs="Calibri"/>
          <w:color w:val="1E293B"/>
          <w:sz w:val="22"/>
          <w:szCs w:val="22"/>
        </w:rPr>
        <w:t>"modelo como código, deploy como pipeline"</w:t>
      </w:r>
      <w:r>
        <w:rPr>
          <w:rFonts w:ascii="Calibri" w:hAnsi="Calibri" w:cs="Calibri"/>
          <w:color w:val="1E293B"/>
          <w:sz w:val="22"/>
          <w:szCs w:val="22"/>
        </w:rPr>
        <w:t>. Referência de mercado: a CI&amp;T consolidou esta abordagem em 2022–2023, reduzindo o ciclo de deploy de modelos de 3–4 semanas para 2–3 dias úteis.</w:t>
      </w:r>
    </w:p>
    <w:p w14:paraId="226053AD" w14:textId="77777777" w:rsidR="00000000" w:rsidRDefault="00000000">
      <w:pPr>
        <w:pStyle w:val="NormalWeb"/>
        <w:shd w:val="clear" w:color="auto" w:fill="FAF5FF"/>
        <w:spacing w:before="0" w:beforeAutospacing="0" w:after="120" w:afterAutospacing="0"/>
        <w:divId w:val="783962642"/>
        <w:rPr>
          <w:rFonts w:ascii="Calibri" w:hAnsi="Calibri" w:cs="Calibri"/>
          <w:i/>
          <w:iCs/>
          <w:color w:val="581C87"/>
          <w:sz w:val="22"/>
          <w:szCs w:val="22"/>
        </w:rPr>
      </w:pPr>
      <w:r>
        <w:rPr>
          <w:rStyle w:val="Forte"/>
          <w:rFonts w:ascii="Calibri" w:hAnsi="Calibri" w:cs="Calibri"/>
          <w:i/>
          <w:iCs/>
          <w:color w:val="581C87"/>
          <w:sz w:val="22"/>
          <w:szCs w:val="22"/>
        </w:rPr>
        <w:t>KPI associado</w:t>
      </w:r>
      <w:r>
        <w:rPr>
          <w:rFonts w:ascii="Calibri" w:hAnsi="Calibri" w:cs="Calibri"/>
          <w:i/>
          <w:iCs/>
          <w:color w:val="581C87"/>
          <w:sz w:val="22"/>
          <w:szCs w:val="22"/>
        </w:rPr>
        <w:t>: Tempo médio de deploy de modelo (lead time from commit to production).</w:t>
      </w:r>
    </w:p>
    <w:p w14:paraId="6476E46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Criar uma Feature Store Corporativa e Arquitetura de Reuso [Q2, Q5]</w:t>
      </w:r>
    </w:p>
    <w:p w14:paraId="4024DAA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endereçar o reuso fragmentado evidenciado em [Q2 = 2.38], a Empresa Teste Maturidade IA deve implementar uma </w:t>
      </w:r>
      <w:r>
        <w:rPr>
          <w:rStyle w:val="Forte"/>
          <w:rFonts w:ascii="Calibri" w:hAnsi="Calibri" w:cs="Calibri"/>
          <w:color w:val="1E293B"/>
          <w:sz w:val="22"/>
          <w:szCs w:val="22"/>
        </w:rPr>
        <w:t>Feature Store</w:t>
      </w:r>
      <w:r>
        <w:rPr>
          <w:rFonts w:ascii="Calibri" w:hAnsi="Calibri" w:cs="Calibri"/>
          <w:color w:val="1E293B"/>
          <w:sz w:val="22"/>
          <w:szCs w:val="22"/>
        </w:rPr>
        <w:t xml:space="preserve"> (ex.: Feast open-source ou Tecton) conectada ao data lake corporativo, com catálogo de features curadas por domínio (cliente, transação, produto). O </w:t>
      </w:r>
      <w:r>
        <w:rPr>
          <w:rStyle w:val="Forte"/>
          <w:rFonts w:ascii="Calibri" w:hAnsi="Calibri" w:cs="Calibri"/>
          <w:color w:val="1E293B"/>
          <w:sz w:val="22"/>
          <w:szCs w:val="22"/>
        </w:rPr>
        <w:t>Playbook Atlas — Componente "Feature Store Manager"</w:t>
      </w:r>
      <w:r>
        <w:rPr>
          <w:rFonts w:ascii="Calibri" w:hAnsi="Calibri" w:cs="Calibri"/>
          <w:color w:val="1E293B"/>
          <w:sz w:val="22"/>
          <w:szCs w:val="22"/>
        </w:rPr>
        <w:t xml:space="preserve"> oferece templates de API de serving online/offline e schema registry. A meta é que features calculadas para um cliente do setor financeiro (ex.: </w:t>
      </w:r>
      <w:r>
        <w:rPr>
          <w:rStyle w:val="nfase"/>
          <w:rFonts w:ascii="Calibri" w:hAnsi="Calibri" w:cs="Calibri"/>
          <w:color w:val="1E293B"/>
          <w:sz w:val="22"/>
          <w:szCs w:val="22"/>
        </w:rPr>
        <w:t>velocity de transações</w:t>
      </w:r>
      <w:r>
        <w:rPr>
          <w:rFonts w:ascii="Calibri" w:hAnsi="Calibri" w:cs="Calibri"/>
          <w:color w:val="1E293B"/>
          <w:sz w:val="22"/>
          <w:szCs w:val="22"/>
        </w:rPr>
        <w:t xml:space="preserve">, </w:t>
      </w:r>
      <w:r>
        <w:rPr>
          <w:rStyle w:val="nfase"/>
          <w:rFonts w:ascii="Calibri" w:hAnsi="Calibri" w:cs="Calibri"/>
          <w:color w:val="1E293B"/>
          <w:sz w:val="22"/>
          <w:szCs w:val="22"/>
        </w:rPr>
        <w:t>recência de acesso</w:t>
      </w:r>
      <w:r>
        <w:rPr>
          <w:rFonts w:ascii="Calibri" w:hAnsi="Calibri" w:cs="Calibri"/>
          <w:color w:val="1E293B"/>
          <w:sz w:val="22"/>
          <w:szCs w:val="22"/>
        </w:rPr>
        <w:t xml:space="preserve">) possam ser reutilizadas em projetos de outro cliente com perfil similar, reduzindo o tempo de feature engineering em novos projetos em até 40%. A padronização de frameworks [Q5] deve ser formalizada em um </w:t>
      </w:r>
      <w:r>
        <w:rPr>
          <w:rStyle w:val="Forte"/>
          <w:rFonts w:ascii="Calibri" w:hAnsi="Calibri" w:cs="Calibri"/>
          <w:color w:val="1E293B"/>
          <w:sz w:val="22"/>
          <w:szCs w:val="22"/>
        </w:rPr>
        <w:t>AI Tech Radar</w:t>
      </w:r>
      <w:r>
        <w:rPr>
          <w:rFonts w:ascii="Calibri" w:hAnsi="Calibri" w:cs="Calibri"/>
          <w:color w:val="1E293B"/>
          <w:sz w:val="22"/>
          <w:szCs w:val="22"/>
        </w:rPr>
        <w:t xml:space="preserve"> semestral — similar ao adotado pela Thoughtworks — definindo categorias Adopt / Trial / Assess / Hold para bibliotecas de ML, serving e dados.</w:t>
      </w:r>
    </w:p>
    <w:p w14:paraId="60E4D19E" w14:textId="77777777" w:rsidR="00000000" w:rsidRDefault="00000000">
      <w:pPr>
        <w:pStyle w:val="NormalWeb"/>
        <w:shd w:val="clear" w:color="auto" w:fill="FAF5FF"/>
        <w:spacing w:before="0" w:beforeAutospacing="0" w:after="120" w:afterAutospacing="0"/>
        <w:divId w:val="320819129"/>
        <w:rPr>
          <w:rFonts w:ascii="Calibri" w:hAnsi="Calibri" w:cs="Calibri"/>
          <w:i/>
          <w:iCs/>
          <w:color w:val="581C87"/>
          <w:sz w:val="22"/>
          <w:szCs w:val="22"/>
        </w:rPr>
      </w:pPr>
      <w:r>
        <w:rPr>
          <w:rStyle w:val="Forte"/>
          <w:rFonts w:ascii="Calibri" w:hAnsi="Calibri" w:cs="Calibri"/>
          <w:i/>
          <w:iCs/>
          <w:color w:val="581C87"/>
          <w:sz w:val="22"/>
          <w:szCs w:val="22"/>
        </w:rPr>
        <w:t>KPI associado</w:t>
      </w:r>
      <w:r>
        <w:rPr>
          <w:rFonts w:ascii="Calibri" w:hAnsi="Calibri" w:cs="Calibri"/>
          <w:i/>
          <w:iCs/>
          <w:color w:val="581C87"/>
          <w:sz w:val="22"/>
          <w:szCs w:val="22"/>
        </w:rPr>
        <w:t>: % de features reutilizadas de projetos anteriores em novos engajamentos.</w:t>
      </w:r>
    </w:p>
    <w:p w14:paraId="454A86E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Implementar Framework de ROI de IA com Value Dashboard em Tempo Real [Q3, Q8]</w:t>
      </w:r>
    </w:p>
    <w:p w14:paraId="5725D9A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Os scores de [Q3 = 2.00] e [Q8 = 1.63] indicam que a Empresa Teste Maturidade IA não possui mecanismo sistemático de atribuição de valor econômico aos modelos em produção. A recomendação é implementar um </w:t>
      </w:r>
      <w:r>
        <w:rPr>
          <w:rStyle w:val="Forte"/>
          <w:rFonts w:ascii="Calibri" w:hAnsi="Calibri" w:cs="Calibri"/>
          <w:color w:val="1E293B"/>
          <w:sz w:val="22"/>
          <w:szCs w:val="22"/>
        </w:rPr>
        <w:t>AI Value Dashboard</w:t>
      </w:r>
      <w:r>
        <w:rPr>
          <w:rFonts w:ascii="Calibri" w:hAnsi="Calibri" w:cs="Calibri"/>
          <w:color w:val="1E293B"/>
          <w:sz w:val="22"/>
          <w:szCs w:val="22"/>
        </w:rPr>
        <w:t xml:space="preserve"> usando o </w:t>
      </w:r>
      <w:r>
        <w:rPr>
          <w:rStyle w:val="Forte"/>
          <w:rFonts w:ascii="Calibri" w:hAnsi="Calibri" w:cs="Calibri"/>
          <w:color w:val="1E293B"/>
          <w:sz w:val="22"/>
          <w:szCs w:val="22"/>
        </w:rPr>
        <w:t>Playbook Atlas — Blueprint "AI Observability + Business KPI Bridge"</w:t>
      </w:r>
      <w:r>
        <w:rPr>
          <w:rFonts w:ascii="Calibri" w:hAnsi="Calibri" w:cs="Calibri"/>
          <w:color w:val="1E293B"/>
          <w:sz w:val="22"/>
          <w:szCs w:val="22"/>
        </w:rPr>
        <w:t xml:space="preserve">: para cada modelo em produção, instrumentar métricas de negócio </w:t>
      </w:r>
      <w:r>
        <w:rPr>
          <w:rStyle w:val="nfase"/>
          <w:rFonts w:ascii="Calibri" w:hAnsi="Calibri" w:cs="Calibri"/>
          <w:color w:val="1E293B"/>
          <w:sz w:val="22"/>
          <w:szCs w:val="22"/>
        </w:rPr>
        <w:t>upstream</w:t>
      </w:r>
      <w:r>
        <w:rPr>
          <w:rFonts w:ascii="Calibri" w:hAnsi="Calibri" w:cs="Calibri"/>
          <w:color w:val="1E293B"/>
          <w:sz w:val="22"/>
          <w:szCs w:val="22"/>
        </w:rPr>
        <w:t xml:space="preserve"> (ex.: taxa de aprovação de crédito automatizada, redução de falsos positivos em fraude, tempo economizado em triage de suporte) e conectá-las ao desempenho do modelo (accuracy, precision, recall, concept drift). O dashboard deve ser parte do ritual de QBR (Quarterly Business Review) com clientes — transformando IA de "entrega de projeto" em "geração contínua de valor mensurável". Referência: Totvs adotou modelo similar para seus módulos de IA no ERP, documentando R$ de valor gerado por módulo ativado.</w:t>
      </w:r>
    </w:p>
    <w:p w14:paraId="621AD88B" w14:textId="77777777" w:rsidR="00000000" w:rsidRDefault="00000000">
      <w:pPr>
        <w:pStyle w:val="NormalWeb"/>
        <w:shd w:val="clear" w:color="auto" w:fill="FAF5FF"/>
        <w:spacing w:before="0" w:beforeAutospacing="0" w:after="120" w:afterAutospacing="0"/>
        <w:divId w:val="215745695"/>
        <w:rPr>
          <w:rFonts w:ascii="Calibri" w:hAnsi="Calibri" w:cs="Calibri"/>
          <w:i/>
          <w:iCs/>
          <w:color w:val="581C87"/>
          <w:sz w:val="22"/>
          <w:szCs w:val="22"/>
        </w:rPr>
      </w:pPr>
      <w:r>
        <w:rPr>
          <w:rStyle w:val="Forte"/>
          <w:rFonts w:ascii="Calibri" w:hAnsi="Calibri" w:cs="Calibri"/>
          <w:i/>
          <w:iCs/>
          <w:color w:val="581C87"/>
          <w:sz w:val="22"/>
          <w:szCs w:val="22"/>
        </w:rPr>
        <w:t>KPI associado</w:t>
      </w:r>
      <w:r>
        <w:rPr>
          <w:rFonts w:ascii="Calibri" w:hAnsi="Calibri" w:cs="Calibri"/>
          <w:i/>
          <w:iCs/>
          <w:color w:val="581C87"/>
          <w:sz w:val="22"/>
          <w:szCs w:val="22"/>
        </w:rPr>
        <w:t>: % de modelos em produção com ROI documentado e atualizado mensalmente.</w:t>
      </w:r>
    </w:p>
    <w:p w14:paraId="3AF22B4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Lançar um AI Experiment Program Interno para Aumentar Cadência de PoCs [Q7]</w:t>
      </w:r>
    </w:p>
    <w:p w14:paraId="77733A6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de [Q7 = 1.88] revela baixa cadência de experimentação sistemática. A Empresa Teste Maturidade IA deve criar um </w:t>
      </w:r>
      <w:r>
        <w:rPr>
          <w:rStyle w:val="Forte"/>
          <w:rFonts w:ascii="Calibri" w:hAnsi="Calibri" w:cs="Calibri"/>
          <w:color w:val="1E293B"/>
          <w:sz w:val="22"/>
          <w:szCs w:val="22"/>
        </w:rPr>
        <w:t>AI Experiment Backlog</w:t>
      </w:r>
      <w:r>
        <w:rPr>
          <w:rFonts w:ascii="Calibri" w:hAnsi="Calibri" w:cs="Calibri"/>
          <w:color w:val="1E293B"/>
          <w:sz w:val="22"/>
          <w:szCs w:val="22"/>
        </w:rPr>
        <w:t xml:space="preserve"> corporativo — gerenciado pelo CoE de IA (ou equivalente) — com time-boxes de 2–4 semanas por experimento, critérios de go/no-go baseados em métricas técnicas e de negócio, e repositório de resultados no </w:t>
      </w:r>
      <w:r>
        <w:rPr>
          <w:rStyle w:val="Forte"/>
          <w:rFonts w:ascii="Calibri" w:hAnsi="Calibri" w:cs="Calibri"/>
          <w:color w:val="1E293B"/>
          <w:sz w:val="22"/>
          <w:szCs w:val="22"/>
        </w:rPr>
        <w:t>Playbook Atlas — Componente "Experiment Tracker"</w:t>
      </w:r>
      <w:r>
        <w:rPr>
          <w:rFonts w:ascii="Calibri" w:hAnsi="Calibri" w:cs="Calibri"/>
          <w:color w:val="1E293B"/>
          <w:sz w:val="22"/>
          <w:szCs w:val="22"/>
        </w:rPr>
        <w:t xml:space="preserve">. O programa deve separar explicitamente experimentos </w:t>
      </w:r>
      <w:r>
        <w:rPr>
          <w:rStyle w:val="nfase"/>
          <w:rFonts w:ascii="Calibri" w:hAnsi="Calibri" w:cs="Calibri"/>
          <w:color w:val="1E293B"/>
          <w:sz w:val="22"/>
          <w:szCs w:val="22"/>
        </w:rPr>
        <w:t>internos</w:t>
      </w:r>
      <w:r>
        <w:rPr>
          <w:rFonts w:ascii="Calibri" w:hAnsi="Calibri" w:cs="Calibri"/>
          <w:color w:val="1E293B"/>
          <w:sz w:val="22"/>
          <w:szCs w:val="22"/>
        </w:rPr>
        <w:t xml:space="preserve"> (melhoria de produtividade de engenharia, code generation, observability) de experimentos </w:t>
      </w:r>
      <w:r>
        <w:rPr>
          <w:rStyle w:val="nfase"/>
          <w:rFonts w:ascii="Calibri" w:hAnsi="Calibri" w:cs="Calibri"/>
          <w:color w:val="1E293B"/>
          <w:sz w:val="22"/>
          <w:szCs w:val="22"/>
        </w:rPr>
        <w:t>aplicados a clientes</w:t>
      </w:r>
      <w:r>
        <w:rPr>
          <w:rFonts w:ascii="Calibri" w:hAnsi="Calibri" w:cs="Calibri"/>
          <w:color w:val="1E293B"/>
          <w:sz w:val="22"/>
          <w:szCs w:val="22"/>
        </w:rPr>
        <w:t xml:space="preserve"> (pilotos pagos em sandbox). Empresas como Mercado Livre e iFood executam internamente 50–100+ experimentos de IA por trimestre com times pequenos — a diferença está na plataforma que reduz o custo marginal de cada experimento.</w:t>
      </w:r>
    </w:p>
    <w:p w14:paraId="1A93712F" w14:textId="77777777" w:rsidR="00000000" w:rsidRDefault="00000000">
      <w:pPr>
        <w:pStyle w:val="NormalWeb"/>
        <w:shd w:val="clear" w:color="auto" w:fill="FAF5FF"/>
        <w:spacing w:before="0" w:beforeAutospacing="0" w:after="120" w:afterAutospacing="0"/>
        <w:divId w:val="1214805007"/>
        <w:rPr>
          <w:rFonts w:ascii="Calibri" w:hAnsi="Calibri" w:cs="Calibri"/>
          <w:i/>
          <w:iCs/>
          <w:color w:val="581C87"/>
          <w:sz w:val="22"/>
          <w:szCs w:val="22"/>
        </w:rPr>
      </w:pPr>
      <w:r>
        <w:rPr>
          <w:rStyle w:val="Forte"/>
          <w:rFonts w:ascii="Calibri" w:hAnsi="Calibri" w:cs="Calibri"/>
          <w:i/>
          <w:iCs/>
          <w:color w:val="581C87"/>
          <w:sz w:val="22"/>
          <w:szCs w:val="22"/>
        </w:rPr>
        <w:t>KPI associado</w:t>
      </w:r>
      <w:r>
        <w:rPr>
          <w:rFonts w:ascii="Calibri" w:hAnsi="Calibri" w:cs="Calibri"/>
          <w:i/>
          <w:iCs/>
          <w:color w:val="581C87"/>
          <w:sz w:val="22"/>
          <w:szCs w:val="22"/>
        </w:rPr>
        <w:t>: Número de experimentos formalizados concluídos por trimestre (com resultado documentado).</w:t>
      </w:r>
    </w:p>
    <w:p w14:paraId="2569D8BD"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8DBB20C">
          <v:rect id="_x0000_i1082" alt="" style="width:425.2pt;height:.05pt;mso-width-percent:0;mso-height-percent:0;mso-width-percent:0;mso-height-percent:0" o:hralign="center" o:hrstd="t" o:hr="t" fillcolor="#a0a0a0" stroked="f"/>
        </w:pict>
      </w:r>
    </w:p>
    <w:p w14:paraId="68AC9B2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3.14.6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4047"/>
        <w:gridCol w:w="2216"/>
        <w:gridCol w:w="1100"/>
        <w:gridCol w:w="1125"/>
      </w:tblGrid>
      <w:tr w:rsidR="00000000" w14:paraId="030F9434" w14:textId="77777777">
        <w:trPr>
          <w:divId w:val="1134710678"/>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0C84456"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DF2810A"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B4D48C1"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EECF213" w14:textId="77777777" w:rsidR="00000000" w:rsidRDefault="00000000">
            <w:pPr>
              <w:spacing w:before="240" w:after="240"/>
              <w:rPr>
                <w:rFonts w:ascii="Calibri" w:eastAsia="Times New Roman" w:hAnsi="Calibri" w:cs="Calibri"/>
                <w:b/>
                <w:bCs/>
                <w:color w:val="6B21A8"/>
                <w:sz w:val="21"/>
                <w:szCs w:val="21"/>
              </w:rPr>
            </w:pPr>
            <w:r>
              <w:rPr>
                <w:rStyle w:val="Forte"/>
                <w:rFonts w:ascii="Calibri" w:eastAsia="Times New Roman" w:hAnsi="Calibri" w:cs="Calibri"/>
                <w:color w:val="6B21A8"/>
                <w:sz w:val="21"/>
                <w:szCs w:val="21"/>
              </w:rPr>
              <w:t>Meta 12 meses</w:t>
            </w:r>
          </w:p>
        </w:tc>
      </w:tr>
      <w:tr w:rsidR="00000000" w14:paraId="642CE8D0" w14:textId="77777777">
        <w:trPr>
          <w:divId w:val="113471067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B5457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Lead time de deploy de modelo</w:t>
            </w:r>
            <w:r>
              <w:rPr>
                <w:rFonts w:ascii="Calibri" w:eastAsia="Times New Roman" w:hAnsi="Calibri" w:cs="Calibri"/>
                <w:color w:val="1E293B"/>
                <w:sz w:val="21"/>
                <w:szCs w:val="21"/>
              </w:rPr>
              <w:t xml:space="preserve"> (dias — do commit ao ambiente produtivo)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035BC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~15–20 dias (estimado pelo score Q4=2.75)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8E1B3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7 dias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B5EC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3 dias</w:t>
            </w:r>
          </w:p>
        </w:tc>
      </w:tr>
      <w:tr w:rsidR="00000000" w14:paraId="7A07EDC8" w14:textId="77777777">
        <w:trPr>
          <w:divId w:val="113471067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9EC61B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modelos em produção com ROI documentado e atualizado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C6D37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20% (inferido de Q8=1.63 e Q3=2.00)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4E5761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1F11D8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75%</w:t>
            </w:r>
          </w:p>
        </w:tc>
      </w:tr>
      <w:tr w:rsidR="00000000" w14:paraId="3D1C0D02" w14:textId="77777777">
        <w:trPr>
          <w:divId w:val="113471067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3A150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features reutilizadas de projetos anteriores em novos engajamentos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44B1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~5–10% (estimado pela ausência de feature store, Q2=2.38)</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503DE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6307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45%</w:t>
            </w:r>
          </w:p>
        </w:tc>
      </w:tr>
      <w:tr w:rsidR="00000000" w14:paraId="0DF41EDE" w14:textId="77777777">
        <w:trPr>
          <w:divId w:val="113471067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82BDF1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Número de experimentos/PoCs de IA formalizados por trimestre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1B502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 (inferido de Q7=1.88)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DDA7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26B003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20</w:t>
            </w:r>
          </w:p>
        </w:tc>
      </w:tr>
      <w:tr w:rsidR="00000000" w14:paraId="28BDA2FF" w14:textId="77777777">
        <w:trPr>
          <w:divId w:val="113471067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50D8E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de orquestração automatizada de pipelines ML</w:t>
            </w:r>
            <w:r>
              <w:rPr>
                <w:rFonts w:ascii="Calibri" w:eastAsia="Times New Roman" w:hAnsi="Calibri" w:cs="Calibri"/>
                <w:color w:val="1E293B"/>
                <w:sz w:val="21"/>
                <w:szCs w:val="21"/>
              </w:rPr>
              <w:t xml:space="preserve"> (% dos projetos ativos com pipeline orquestrado end-to-end)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9D0C5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~10–15% (inferido de Q6=1.71)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CEF9FA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35%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CCA4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65%</w:t>
            </w:r>
          </w:p>
        </w:tc>
      </w:tr>
    </w:tbl>
    <w:p w14:paraId="0E22CD2F"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3.15 Dimensão — Maturidade por Tipo de IA — Score 2.44 · Nível 2</w:t>
      </w:r>
    </w:p>
    <w:p w14:paraId="68262E8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3.15.1 Análise Diagnóstica</w:t>
      </w:r>
    </w:p>
    <w:p w14:paraId="1BD4FD6B"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padrão de scores ao longo das oito perguntas desta dimensão revela uma assimetria estrutural que é ao mesmo tempo sintomática e estrategicamente perigosa para uma empresa de tecnologia de grande porte. A inversão mais flagrante está entre [Q1] e [Q3]: a Empresa Teste Maturidade IA demonstra maturidade incipiente em IA Analítica/Tradicional (ML clássico, estatística, séries temporais) com score 1.88 — o menor de toda a dimensão —, enquanto paradoxalmente pontua mais alto em IA Agêntica (score 3.13). Em termos práticos, isso equivale a uma empresa que investiu em sistemas de orquestração de agentes autônomos antes de consolidar o alicerce de modelos preditivos supervisionados, churn models robustos, forecasting de demanda de infraestrutura ou anomaly detection em logs de produção. Para uma empresa de tecnologia que vende ou embarca software, a IA Analítica/Tradicional é a fundação de feature engineering, experimentação A/B disciplinada e observabilidade orientada a dados — lacunas nesse nível comprometem a credibilidade técnica de todo o portfólio.</w:t>
      </w:r>
    </w:p>
    <w:p w14:paraId="550AA0B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A IA Generativa [Q2] (score 2.88) e a IA Robótica/RPA Cognitivo [Q4] (score 2.13) revelam uma empresa ainda em fase de pilotos seletivos, sem industrialização. No contexto de uma tech company de grande porte, o esperado seria que ferramentas como GitHub Copilot Enterprise, LLM-powered code review, geração automatizada de documentação e test synthesis já estivessem em produção com métricas DORA rastreadas (Lead Time for Changes, Deployment Frequency). O score 2.88 indica que esses pilotos existem mas carecem de governança, fine-tuning sistemático e integração com pipelines de CI/CD — o que cria IA Generativa "ilhada", sem feedback loop com sistemas de negócio. Já o RPA Cognitivo [Q4] em 2.13 sugere que a automação de processos repetitivos (onboarding de clientes, extração de contratos, triagem de tickets de suporte L1/L2) permanece dependente de lógica baseada em regras sem camada cognitiva, deixando ganhos de eficiência operacional na mesa.</w:t>
      </w:r>
    </w:p>
    <w:p w14:paraId="13C3E10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Os scores de capacidade organizacional transversal são igualmente reveladores: [Q5] (integração multi-tipo, 2.25), [Q6] (roadmap por tipo de IA, 2.00) e [Q7]/[Q8] (especialistas dedicados e monitoramento de novas tecnologias, ambos 2.63) traçam um retrato de fragmentação. A ausência de roadmap estruturado [Q6] — o segundo menor score da dimensão — é particularmente crítica porque, sem ele, investimentos em IA Agêntica (o ponto mais alto) correm o risco de ser desconexos de uma estratégia de plataforma coerente. Em empresas tech maduras como Thoughtworks, Nubank ou Totvs, a convergência entre IA Analítica (modelos de scoring de qualidade de software), Generativa (code synthesis) e Agêntica (autonomous testing agents) é orquestrada por um AI Platform Team com OKRs explícitos por tipo de IA — estrutura que o score 2.00 em [Q6] indica que a Empresa Teste Maturidade IA ainda não tem formalizada.</w:t>
      </w:r>
    </w:p>
    <w:p w14:paraId="5C9C6F88"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40D9BEF">
          <v:rect id="_x0000_i1081" alt="" style="width:425.2pt;height:.05pt;mso-width-percent:0;mso-height-percent:0;mso-width-percent:0;mso-height-percent:0" o:hralign="center" o:hrstd="t" o:hr="t" fillcolor="#a0a0a0" stroked="f"/>
        </w:pict>
      </w:r>
    </w:p>
    <w:p w14:paraId="786F91C4"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3.15.2 Evidências Críticas</w:t>
      </w:r>
    </w:p>
    <w:p w14:paraId="6B37F27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w:t>
      </w:r>
    </w:p>
    <w:p w14:paraId="5C5E3046" w14:textId="77777777" w:rsidR="00000000" w:rsidRDefault="00000000">
      <w:pPr>
        <w:numPr>
          <w:ilvl w:val="0"/>
          <w:numId w:val="3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IA Analítica/Tradicional — score 1.88 (crítico):</w:t>
      </w:r>
      <w:r>
        <w:rPr>
          <w:rFonts w:ascii="Calibri" w:eastAsia="Times New Roman" w:hAnsi="Calibri" w:cs="Calibri"/>
          <w:color w:val="1E293B"/>
          <w:sz w:val="22"/>
          <w:szCs w:val="22"/>
        </w:rPr>
        <w:t xml:space="preserve"> menor pontuação de toda a dimensão; indica ausência ou baixa maturidade em ML clássico aplicado a casos core de tech (detecção de anomalias em produção, previsão de churn de clientes SaaS, modelos de priorização de bugs, capacity planning preditivo de infraestrutura).</w:t>
      </w:r>
    </w:p>
    <w:p w14:paraId="246ED44F" w14:textId="77777777" w:rsidR="00000000" w:rsidRDefault="00000000">
      <w:pPr>
        <w:numPr>
          <w:ilvl w:val="0"/>
          <w:numId w:val="3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Roadmap por tipo de IA — score 2.00:</w:t>
      </w:r>
      <w:r>
        <w:rPr>
          <w:rFonts w:ascii="Calibri" w:eastAsia="Times New Roman" w:hAnsi="Calibri" w:cs="Calibri"/>
          <w:color w:val="1E293B"/>
          <w:sz w:val="22"/>
          <w:szCs w:val="22"/>
        </w:rPr>
        <w:t xml:space="preserve"> evidência direta de que não existe um plano de evolução diferenciado para cada paradigma; investimentos tendem a ser reativos (seguindo hype) ao invés de estratégicos, resultando em portfólio tecnológico incoerente.</w:t>
      </w:r>
    </w:p>
    <w:p w14:paraId="4AD39D3C" w14:textId="77777777" w:rsidR="00000000" w:rsidRDefault="00000000">
      <w:pPr>
        <w:numPr>
          <w:ilvl w:val="0"/>
          <w:numId w:val="3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IA Robótica/RPA Cognitivo — score 2.13:</w:t>
      </w:r>
      <w:r>
        <w:rPr>
          <w:rFonts w:ascii="Calibri" w:eastAsia="Times New Roman" w:hAnsi="Calibri" w:cs="Calibri"/>
          <w:color w:val="1E293B"/>
          <w:sz w:val="22"/>
          <w:szCs w:val="22"/>
        </w:rPr>
        <w:t xml:space="preserve"> processos de backoffice e suporte técnico ainda não beneficiados por automação cognitiva; oportunidade desperdiçada em triagem inteligente de incidentes, extração de SLAs em contratos e onboarding automatizado.</w:t>
      </w:r>
    </w:p>
    <w:p w14:paraId="3343EC07" w14:textId="77777777" w:rsidR="00000000" w:rsidRDefault="00000000">
      <w:pPr>
        <w:numPr>
          <w:ilvl w:val="0"/>
          <w:numId w:val="3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Integração multi-tipo de IA — score 2.25:</w:t>
      </w:r>
      <w:r>
        <w:rPr>
          <w:rFonts w:ascii="Calibri" w:eastAsia="Times New Roman" w:hAnsi="Calibri" w:cs="Calibri"/>
          <w:color w:val="1E293B"/>
          <w:sz w:val="22"/>
          <w:szCs w:val="22"/>
        </w:rPr>
        <w:t xml:space="preserve"> soluções de IA operam em silos; não há arquitetura de referência que combine, por exemplo, um modelo preditivo de qualidade de código [Q1] com geração automática de refactoring [Q2] e agente de PR review autônomo [Q3].</w:t>
      </w:r>
    </w:p>
    <w:p w14:paraId="4FC28B3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cima:</w:t>
      </w:r>
    </w:p>
    <w:p w14:paraId="7564233B" w14:textId="77777777" w:rsidR="00000000" w:rsidRDefault="00000000">
      <w:pPr>
        <w:numPr>
          <w:ilvl w:val="0"/>
          <w:numId w:val="3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IA Agêntica — score 3.13 (ponto alto relativo):</w:t>
      </w:r>
      <w:r>
        <w:rPr>
          <w:rFonts w:ascii="Calibri" w:eastAsia="Times New Roman" w:hAnsi="Calibri" w:cs="Calibri"/>
          <w:color w:val="1E293B"/>
          <w:sz w:val="22"/>
          <w:szCs w:val="22"/>
        </w:rPr>
        <w:t xml:space="preserve"> a empresa demonstra compreensão e experimentação com sistemas multi-agente, possivelmente em contextos de automação de testes, orquestração de workflows de desenvolvimento ou agentes de atendimento — diferencial que pode ser alavancado como plataforma se apoiado pelos demais tipos.</w:t>
      </w:r>
    </w:p>
    <w:p w14:paraId="1DA8959B" w14:textId="77777777" w:rsidR="00000000" w:rsidRDefault="00000000">
      <w:pPr>
        <w:numPr>
          <w:ilvl w:val="0"/>
          <w:numId w:val="3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IA Generativa — score 2.88:</w:t>
      </w:r>
      <w:r>
        <w:rPr>
          <w:rFonts w:ascii="Calibri" w:eastAsia="Times New Roman" w:hAnsi="Calibri" w:cs="Calibri"/>
          <w:color w:val="1E293B"/>
          <w:sz w:val="22"/>
          <w:szCs w:val="22"/>
        </w:rPr>
        <w:t xml:space="preserve"> pilotos existentes (provavelmente code assistants ou geração de documentação técnica) mostram que há absorção da tecnologia, mas falta industrialização com fine-tuning, RAG sobre bases proprietárias e integração com ferramentas de engenharia.</w:t>
      </w:r>
    </w:p>
    <w:p w14:paraId="678028DB" w14:textId="77777777" w:rsidR="00000000" w:rsidRDefault="00000000">
      <w:pPr>
        <w:numPr>
          <w:ilvl w:val="0"/>
          <w:numId w:val="3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[Q7] e [Q8] — especialistas e monitoramento de novas tecnologias (ambos 2.63):</w:t>
      </w:r>
      <w:r>
        <w:rPr>
          <w:rFonts w:ascii="Calibri" w:eastAsia="Times New Roman" w:hAnsi="Calibri" w:cs="Calibri"/>
          <w:color w:val="1E293B"/>
          <w:sz w:val="22"/>
          <w:szCs w:val="22"/>
        </w:rPr>
        <w:t xml:space="preserve"> existe nucleação de conhecimento especializado e algum processo de technology scouting, mas sem alocação dedicada por tipo de IA nem formalização em processo de avaliação contínua (como um AI Technology Radar interno).</w:t>
      </w:r>
    </w:p>
    <w:p w14:paraId="3AAC59B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B146CC2">
          <v:rect id="_x0000_i1080" alt="" style="width:425.2pt;height:.05pt;mso-width-percent:0;mso-height-percent:0;mso-width-percent:0;mso-height-percent:0" o:hralign="center" o:hrstd="t" o:hr="t" fillcolor="#a0a0a0" stroked="f"/>
        </w:pict>
      </w:r>
    </w:p>
    <w:p w14:paraId="00F97FA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3.15.3 Risco de Negócio</w:t>
      </w:r>
    </w:p>
    <w:p w14:paraId="7EA2941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combinação de ausência de roadmap diferenciado por tipo de IA [Q6: 2.00] com a base analítica frágil [Q1: 1.88] expõe a Empresa Teste Maturidade IA a um risco específico e crescente no mercado de tecnologia: </w:t>
      </w:r>
      <w:r>
        <w:rPr>
          <w:rStyle w:val="Forte"/>
          <w:rFonts w:ascii="Calibri" w:hAnsi="Calibri" w:cs="Calibri"/>
          <w:color w:val="1E293B"/>
          <w:sz w:val="22"/>
          <w:szCs w:val="22"/>
        </w:rPr>
        <w:t>commoditização acelerada de suas soluções frente a concorrentes que operam com portfólios de IA orquestrados</w:t>
      </w:r>
      <w:r>
        <w:rPr>
          <w:rFonts w:ascii="Calibri" w:hAnsi="Calibri" w:cs="Calibri"/>
          <w:color w:val="1E293B"/>
          <w:sz w:val="22"/>
          <w:szCs w:val="22"/>
        </w:rPr>
        <w:t>. Empresas tech que não consolidam IA Analítica como infraestrutura preditiva perdem a capacidade de oferecer SLAs baseados em dados, pricing dinâmico de contratos, otimização automática de recursos de nuvem ou alertas antecipados de degradação de serviço — diferenciais que clientes enterprise já começam a exigir como cláusulas contratuais. Ao mesmo tempo, a falta de integração multi-tipo [Q5: 2.25] impede que o investimento já realizado em IA Agêntica [Q3: 3.13] seja convertido em produtos de plataforma escaláveis: sem os modelos analíticos alimentando os agentes com sinais de qualidade e sem o RPA cognitivo fechando loops de execução, os agentes autônomos operam com contexto empobrecido, gerando outputs de baixa confiabilidade que corroem a confiança interna e dos clientes. O risco não é apenas de perda de oportunidade de receita — é de investimento duplicado em tecnologias avançadas cuja entrega de valor fica bloqueada pela ausência da base fundacional.</w:t>
      </w:r>
    </w:p>
    <w:p w14:paraId="3E18043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14D2F1A">
          <v:rect id="_x0000_i1079" alt="" style="width:425.2pt;height:.05pt;mso-width-percent:0;mso-height-percent:0;mso-width-percent:0;mso-height-percent:0" o:hralign="center" o:hrstd="t" o:hr="t" fillcolor="#a0a0a0" stroked="f"/>
        </w:pict>
      </w:r>
    </w:p>
    <w:p w14:paraId="3A663FF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3.15.4 Benchmark Setorial</w:t>
      </w:r>
    </w:p>
    <w:p w14:paraId="7FB1CBD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No setor de tecnologia, empresas de grande porte situam-se em média no score 3.5 desta dimensão, com players líderes (Accenture, ThoughtWorks, TOTVS em seu Centro de Excelência em IA) operando entre 3.8 e 4.2 — ou seja, já no território do estágio 3 do MIT CISR ("Develop AI Ways of Working"), onde cada tipo de IA possui um squad dedicado, um roadmap de evolução trimestral e métricas de impacto rastreadas em dashboards executivos. A Empresa Teste Maturidade IA, com score médio de 2.45 nesta dimensão, posiciona-se aproximadamente 1.05 ponto abaixo da média setorial e até 1.75 ponto abaixo dos líderes — uma lacuna que, em velocidade de inovação tecnológica, representa 18 a 24 meses de atraso de capacidade instalada. Especificamente na IA Analítica/Tradicional [Q1: 1.88], o gap é ainda mais severo: empresas tech maduras já industrializaram MLOps para modelos de observabilidade (detecção de drift em logs de produção, forecasting de SLA breach) usando ferramentas como MLflow, Vertex AI Pipelines ou SageMaker Pipelines com feature stores centralizados — infraestrutura que o score da Empresa Teste Maturidade IA indica estar apenas em estágio embrionário. Na IA Agêntica [Q3: 3.13], contudo, a empresa se aproxima do benchmark médio, o que representa uma janela de diferenciação real caso invista em converter esse ponto forte em capacidade de plataforma antes que os concorrentes consolidem suas próprias stacks agênticas.</w:t>
      </w:r>
    </w:p>
    <w:p w14:paraId="62E5C56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6FC2AA0">
          <v:rect id="_x0000_i1078" alt="" style="width:425.2pt;height:.05pt;mso-width-percent:0;mso-height-percent:0;mso-width-percent:0;mso-height-percent:0" o:hralign="center" o:hrstd="t" o:hr="t" fillcolor="#a0a0a0" stroked="f"/>
        </w:pict>
      </w:r>
    </w:p>
    <w:p w14:paraId="23D2F994"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3.15.5 Recomendações Específicas</w:t>
      </w:r>
    </w:p>
    <w:p w14:paraId="6FBD719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Fundar o Alicerce Analítico com um ML Platform Program (endereça [Q1])</w:t>
      </w:r>
    </w:p>
    <w:p w14:paraId="51BB8AF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gap mais urgente é a IA Analítica/Tradicional. A Empresa Teste Maturidade IA deve lançar um </w:t>
      </w:r>
      <w:r>
        <w:rPr>
          <w:rStyle w:val="Forte"/>
          <w:rFonts w:ascii="Calibri" w:hAnsi="Calibri" w:cs="Calibri"/>
          <w:color w:val="1E293B"/>
          <w:sz w:val="22"/>
          <w:szCs w:val="22"/>
        </w:rPr>
        <w:t>ML Platform Program</w:t>
      </w:r>
      <w:r>
        <w:rPr>
          <w:rFonts w:ascii="Calibri" w:hAnsi="Calibri" w:cs="Calibri"/>
          <w:color w:val="1E293B"/>
          <w:sz w:val="22"/>
          <w:szCs w:val="22"/>
        </w:rPr>
        <w:t xml:space="preserve"> com três frentes simultâneas: (i) implementar uma </w:t>
      </w:r>
      <w:r>
        <w:rPr>
          <w:rStyle w:val="Forte"/>
          <w:rFonts w:ascii="Calibri" w:hAnsi="Calibri" w:cs="Calibri"/>
          <w:color w:val="1E293B"/>
          <w:sz w:val="22"/>
          <w:szCs w:val="22"/>
        </w:rPr>
        <w:t>Feature Store centralizada</w:t>
      </w:r>
      <w:r>
        <w:rPr>
          <w:rFonts w:ascii="Calibri" w:hAnsi="Calibri" w:cs="Calibri"/>
          <w:color w:val="1E293B"/>
          <w:sz w:val="22"/>
          <w:szCs w:val="22"/>
        </w:rPr>
        <w:t xml:space="preserve"> (Feast ou Tecton) alimentando casos de uso imediatos como detecção de anomalias em logs de produção e churn prediction de clientes SaaS; (ii) adotar </w:t>
      </w:r>
      <w:r>
        <w:rPr>
          <w:rStyle w:val="Forte"/>
          <w:rFonts w:ascii="Calibri" w:hAnsi="Calibri" w:cs="Calibri"/>
          <w:color w:val="1E293B"/>
          <w:sz w:val="22"/>
          <w:szCs w:val="22"/>
        </w:rPr>
        <w:t>MLflow ou Vertex AI Experiments</w:t>
      </w:r>
      <w:r>
        <w:rPr>
          <w:rFonts w:ascii="Calibri" w:hAnsi="Calibri" w:cs="Calibri"/>
          <w:color w:val="1E293B"/>
          <w:sz w:val="22"/>
          <w:szCs w:val="22"/>
        </w:rPr>
        <w:t xml:space="preserve"> para rastreamento de experimentos e versionamento de modelos, operacionalizando as métricas DORA para modelos de ML (model deployment frequency, model incident rate); (iii) criar um </w:t>
      </w:r>
      <w:r>
        <w:rPr>
          <w:rStyle w:val="Forte"/>
          <w:rFonts w:ascii="Calibri" w:hAnsi="Calibri" w:cs="Calibri"/>
          <w:color w:val="1E293B"/>
          <w:sz w:val="22"/>
          <w:szCs w:val="22"/>
        </w:rPr>
        <w:t>Model Registry com estágios de ciclo de vida</w:t>
      </w:r>
      <w:r>
        <w:rPr>
          <w:rFonts w:ascii="Calibri" w:hAnsi="Calibri" w:cs="Calibri"/>
          <w:color w:val="1E293B"/>
          <w:sz w:val="22"/>
          <w:szCs w:val="22"/>
        </w:rPr>
        <w:t xml:space="preserve"> (Staging → Production → Archived) governado por critérios quantitativos de performance (AUC mínimo, drift threshold). No </w:t>
      </w:r>
      <w:r>
        <w:rPr>
          <w:rStyle w:val="Forte"/>
          <w:rFonts w:ascii="Calibri" w:hAnsi="Calibri" w:cs="Calibri"/>
          <w:color w:val="1E293B"/>
          <w:sz w:val="22"/>
          <w:szCs w:val="22"/>
        </w:rPr>
        <w:t>Playbook Atlas</w:t>
      </w:r>
      <w:r>
        <w:rPr>
          <w:rFonts w:ascii="Calibri" w:hAnsi="Calibri" w:cs="Calibri"/>
          <w:color w:val="1E293B"/>
          <w:sz w:val="22"/>
          <w:szCs w:val="22"/>
        </w:rPr>
        <w:t xml:space="preserve">, os aceleradores </w:t>
      </w:r>
      <w:r>
        <w:rPr>
          <w:rStyle w:val="Forte"/>
          <w:rFonts w:ascii="Calibri" w:hAnsi="Calibri" w:cs="Calibri"/>
          <w:color w:val="1E293B"/>
          <w:sz w:val="22"/>
          <w:szCs w:val="22"/>
        </w:rPr>
        <w:t>ML Pipeline Blueprint</w:t>
      </w:r>
      <w:r>
        <w:rPr>
          <w:rFonts w:ascii="Calibri" w:hAnsi="Calibri" w:cs="Calibri"/>
          <w:color w:val="1E293B"/>
          <w:sz w:val="22"/>
          <w:szCs w:val="22"/>
        </w:rPr>
        <w:t xml:space="preserve">, </w:t>
      </w:r>
      <w:r>
        <w:rPr>
          <w:rStyle w:val="Forte"/>
          <w:rFonts w:ascii="Calibri" w:hAnsi="Calibri" w:cs="Calibri"/>
          <w:color w:val="1E293B"/>
          <w:sz w:val="22"/>
          <w:szCs w:val="22"/>
        </w:rPr>
        <w:t>Feature Store Connector</w:t>
      </w:r>
      <w:r>
        <w:rPr>
          <w:rFonts w:ascii="Calibri" w:hAnsi="Calibri" w:cs="Calibri"/>
          <w:color w:val="1E293B"/>
          <w:sz w:val="22"/>
          <w:szCs w:val="22"/>
        </w:rPr>
        <w:t xml:space="preserve"> e </w:t>
      </w:r>
      <w:r>
        <w:rPr>
          <w:rStyle w:val="Forte"/>
          <w:rFonts w:ascii="Calibri" w:hAnsi="Calibri" w:cs="Calibri"/>
          <w:color w:val="1E293B"/>
          <w:sz w:val="22"/>
          <w:szCs w:val="22"/>
        </w:rPr>
        <w:t>Observability Engine</w:t>
      </w:r>
      <w:r>
        <w:rPr>
          <w:rFonts w:ascii="Calibri" w:hAnsi="Calibri" w:cs="Calibri"/>
          <w:color w:val="1E293B"/>
          <w:sz w:val="22"/>
          <w:szCs w:val="22"/>
        </w:rPr>
        <w:t xml:space="preserve"> suportam a industrialização rápida dessa infraestrutura. Meta: ao menos 3 modelos analíticos em produção com monitoramento automatizado em 6 meses.</w:t>
      </w:r>
    </w:p>
    <w:p w14:paraId="22D003B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Industrializar IA Generativa com RAG Corporativo e Integração DevOps (endereça [Q2])</w:t>
      </w:r>
    </w:p>
    <w:p w14:paraId="212B94B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Os pilotos de IA Generativa devem evoluir de experimentos isolados para </w:t>
      </w:r>
      <w:r>
        <w:rPr>
          <w:rStyle w:val="Forte"/>
          <w:rFonts w:ascii="Calibri" w:hAnsi="Calibri" w:cs="Calibri"/>
          <w:color w:val="1E293B"/>
          <w:sz w:val="22"/>
          <w:szCs w:val="22"/>
        </w:rPr>
        <w:t>capacidades de plataforma integradas ao ciclo de desenvolvimento de software</w:t>
      </w:r>
      <w:r>
        <w:rPr>
          <w:rFonts w:ascii="Calibri" w:hAnsi="Calibri" w:cs="Calibri"/>
          <w:color w:val="1E293B"/>
          <w:sz w:val="22"/>
          <w:szCs w:val="22"/>
        </w:rPr>
        <w:t xml:space="preserve">. A Empresa Teste Maturidade IA deve implementar: (i) </w:t>
      </w:r>
      <w:r>
        <w:rPr>
          <w:rStyle w:val="Forte"/>
          <w:rFonts w:ascii="Calibri" w:hAnsi="Calibri" w:cs="Calibri"/>
          <w:color w:val="1E293B"/>
          <w:sz w:val="22"/>
          <w:szCs w:val="22"/>
        </w:rPr>
        <w:t>GitHub Copilot Enterprise</w:t>
      </w:r>
      <w:r>
        <w:rPr>
          <w:rFonts w:ascii="Calibri" w:hAnsi="Calibri" w:cs="Calibri"/>
          <w:color w:val="1E293B"/>
          <w:sz w:val="22"/>
          <w:szCs w:val="22"/>
        </w:rPr>
        <w:t xml:space="preserve"> (ou equivalente open-source via Continue.dev + Ollama) com métricas de aceitação de sugestões rastreadas por squad; (ii) um </w:t>
      </w:r>
      <w:r>
        <w:rPr>
          <w:rStyle w:val="Forte"/>
          <w:rFonts w:ascii="Calibri" w:hAnsi="Calibri" w:cs="Calibri"/>
          <w:color w:val="1E293B"/>
          <w:sz w:val="22"/>
          <w:szCs w:val="22"/>
        </w:rPr>
        <w:t>RAG Pipeline corporativo</w:t>
      </w:r>
      <w:r>
        <w:rPr>
          <w:rFonts w:ascii="Calibri" w:hAnsi="Calibri" w:cs="Calibri"/>
          <w:color w:val="1E293B"/>
          <w:sz w:val="22"/>
          <w:szCs w:val="22"/>
        </w:rPr>
        <w:t xml:space="preserve"> (LangChain + PGVector ou Weaviate) sobre bases de conhecimento proprietárias (documentação técnica, runbooks, histórico de incidentes) acessível via agente de suporte interno; (iii) </w:t>
      </w:r>
      <w:r>
        <w:rPr>
          <w:rStyle w:val="Forte"/>
          <w:rFonts w:ascii="Calibri" w:hAnsi="Calibri" w:cs="Calibri"/>
          <w:color w:val="1E293B"/>
          <w:sz w:val="22"/>
          <w:szCs w:val="22"/>
        </w:rPr>
        <w:t>LLM-powered test generation</w:t>
      </w:r>
      <w:r>
        <w:rPr>
          <w:rFonts w:ascii="Calibri" w:hAnsi="Calibri" w:cs="Calibri"/>
          <w:color w:val="1E293B"/>
          <w:sz w:val="22"/>
          <w:szCs w:val="22"/>
        </w:rPr>
        <w:t xml:space="preserve"> integrado ao pipeline de CI/CD para cobertura incremental automatizada. O </w:t>
      </w:r>
      <w:r>
        <w:rPr>
          <w:rStyle w:val="Forte"/>
          <w:rFonts w:ascii="Calibri" w:hAnsi="Calibri" w:cs="Calibri"/>
          <w:color w:val="1E293B"/>
          <w:sz w:val="22"/>
          <w:szCs w:val="22"/>
        </w:rPr>
        <w:t>Playbook Atlas</w:t>
      </w:r>
      <w:r>
        <w:rPr>
          <w:rFonts w:ascii="Calibri" w:hAnsi="Calibri" w:cs="Calibri"/>
          <w:color w:val="1E293B"/>
          <w:sz w:val="22"/>
          <w:szCs w:val="22"/>
        </w:rPr>
        <w:t xml:space="preserve"> disponibiliza o </w:t>
      </w:r>
      <w:r>
        <w:rPr>
          <w:rStyle w:val="Forte"/>
          <w:rFonts w:ascii="Calibri" w:hAnsi="Calibri" w:cs="Calibri"/>
          <w:color w:val="1E293B"/>
          <w:sz w:val="22"/>
          <w:szCs w:val="22"/>
        </w:rPr>
        <w:t>GenAI Accelerator Pack</w:t>
      </w:r>
      <w:r>
        <w:rPr>
          <w:rFonts w:ascii="Calibri" w:hAnsi="Calibri" w:cs="Calibri"/>
          <w:color w:val="1E293B"/>
          <w:sz w:val="22"/>
          <w:szCs w:val="22"/>
        </w:rPr>
        <w:t xml:space="preserve"> (RAG Blueprint, LLM Gateway com rate limiting e cost tracking) e o </w:t>
      </w:r>
      <w:r>
        <w:rPr>
          <w:rStyle w:val="Forte"/>
          <w:rFonts w:ascii="Calibri" w:hAnsi="Calibri" w:cs="Calibri"/>
          <w:color w:val="1E293B"/>
          <w:sz w:val="22"/>
          <w:szCs w:val="22"/>
        </w:rPr>
        <w:t>Code Intelligence Engine</w:t>
      </w:r>
      <w:r>
        <w:rPr>
          <w:rFonts w:ascii="Calibri" w:hAnsi="Calibri" w:cs="Calibri"/>
          <w:color w:val="1E293B"/>
          <w:sz w:val="22"/>
          <w:szCs w:val="22"/>
        </w:rPr>
        <w:t>. Meta: redução de 20% no tempo de onboarding de novos engenheiros e aumento de 15% na cobertura de testes automatizados em 12 meses.</w:t>
      </w:r>
    </w:p>
    <w:p w14:paraId="1FF424E4"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Criar o AI Types Roadmap com OKRs por Paradigma (endereça [Q6] e [Q7])</w:t>
      </w:r>
    </w:p>
    <w:p w14:paraId="7438097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ausência de roadmap [Q6: 2.00] é estrutural e exige uma intervenção de governança: a Empresa Teste Maturidade IA deve estabelecer um </w:t>
      </w:r>
      <w:r>
        <w:rPr>
          <w:rStyle w:val="Forte"/>
          <w:rFonts w:ascii="Calibri" w:hAnsi="Calibri" w:cs="Calibri"/>
          <w:color w:val="1E293B"/>
          <w:sz w:val="22"/>
          <w:szCs w:val="22"/>
        </w:rPr>
        <w:t>AI Types Council</w:t>
      </w:r>
      <w:r>
        <w:rPr>
          <w:rFonts w:ascii="Calibri" w:hAnsi="Calibri" w:cs="Calibri"/>
          <w:color w:val="1E293B"/>
          <w:sz w:val="22"/>
          <w:szCs w:val="22"/>
        </w:rPr>
        <w:t xml:space="preserve"> — fórum trimestral co-liderado pelo CTO e pelo Head of AI — responsável por produzir e revisar um </w:t>
      </w:r>
      <w:r>
        <w:rPr>
          <w:rStyle w:val="Forte"/>
          <w:rFonts w:ascii="Calibri" w:hAnsi="Calibri" w:cs="Calibri"/>
          <w:color w:val="1E293B"/>
          <w:sz w:val="22"/>
          <w:szCs w:val="22"/>
        </w:rPr>
        <w:t>AI Technology Radar</w:t>
      </w:r>
      <w:r>
        <w:rPr>
          <w:rFonts w:ascii="Calibri" w:hAnsi="Calibri" w:cs="Calibri"/>
          <w:color w:val="1E293B"/>
          <w:sz w:val="22"/>
          <w:szCs w:val="22"/>
        </w:rPr>
        <w:t xml:space="preserve"> interno (inspirado no ThoughtWorks Technology Radar) com quatro anéis (Adopt, Trial, Assess, Hold) para cada paradigma: Analítica, Generativa, Agêntica e Robótica. Cada paradigma deve ter um </w:t>
      </w:r>
      <w:r>
        <w:rPr>
          <w:rStyle w:val="Forte"/>
          <w:rFonts w:ascii="Calibri" w:hAnsi="Calibri" w:cs="Calibri"/>
          <w:color w:val="1E293B"/>
          <w:sz w:val="22"/>
          <w:szCs w:val="22"/>
        </w:rPr>
        <w:t>Tech Lead de IA dedicado</w:t>
      </w:r>
      <w:r>
        <w:rPr>
          <w:rFonts w:ascii="Calibri" w:hAnsi="Calibri" w:cs="Calibri"/>
          <w:color w:val="1E293B"/>
          <w:sz w:val="22"/>
          <w:szCs w:val="22"/>
        </w:rPr>
        <w:t xml:space="preserve"> (ou um Chapter Lead em estrutura de squad) com OKRs explícitos vinculados a entregas de produto. O roadmap deve cobrir horizonte de 12–36 meses com marcos de migração de estágio MIT CISR: de "Build Pilots" (atual) para "Develop AI Ways of Working" até Q4 2026. No </w:t>
      </w:r>
      <w:r>
        <w:rPr>
          <w:rStyle w:val="Forte"/>
          <w:rFonts w:ascii="Calibri" w:hAnsi="Calibri" w:cs="Calibri"/>
          <w:color w:val="1E293B"/>
          <w:sz w:val="22"/>
          <w:szCs w:val="22"/>
        </w:rPr>
        <w:t>Playbook Atlas</w:t>
      </w:r>
      <w:r>
        <w:rPr>
          <w:rFonts w:ascii="Calibri" w:hAnsi="Calibri" w:cs="Calibri"/>
          <w:color w:val="1E293B"/>
          <w:sz w:val="22"/>
          <w:szCs w:val="22"/>
        </w:rPr>
        <w:t xml:space="preserve">, o </w:t>
      </w:r>
      <w:r>
        <w:rPr>
          <w:rStyle w:val="Forte"/>
          <w:rFonts w:ascii="Calibri" w:hAnsi="Calibri" w:cs="Calibri"/>
          <w:color w:val="1E293B"/>
          <w:sz w:val="22"/>
          <w:szCs w:val="22"/>
        </w:rPr>
        <w:t>AI Governance Framework Blueprint</w:t>
      </w:r>
      <w:r>
        <w:rPr>
          <w:rFonts w:ascii="Calibri" w:hAnsi="Calibri" w:cs="Calibri"/>
          <w:color w:val="1E293B"/>
          <w:sz w:val="22"/>
          <w:szCs w:val="22"/>
        </w:rPr>
        <w:t xml:space="preserve"> e o </w:t>
      </w:r>
      <w:r>
        <w:rPr>
          <w:rStyle w:val="Forte"/>
          <w:rFonts w:ascii="Calibri" w:hAnsi="Calibri" w:cs="Calibri"/>
          <w:color w:val="1E293B"/>
          <w:sz w:val="22"/>
          <w:szCs w:val="22"/>
        </w:rPr>
        <w:t>Skill Matrix Accelerator</w:t>
      </w:r>
      <w:r>
        <w:rPr>
          <w:rFonts w:ascii="Calibri" w:hAnsi="Calibri" w:cs="Calibri"/>
          <w:color w:val="1E293B"/>
          <w:sz w:val="22"/>
          <w:szCs w:val="22"/>
        </w:rPr>
        <w:t xml:space="preserve"> apoiam a estruturação do conselho e o mapeamento de gaps de talento por tipo de IA.</w:t>
      </w:r>
    </w:p>
    <w:p w14:paraId="24CFA40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Construir a Arquitetura de IA Composta para Integração Multi-Tipo (endereça [Q3] + [Q5])</w:t>
      </w:r>
    </w:p>
    <w:p w14:paraId="4CD5326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ponto alto em IA Agêntica [Q3: 3.13] deve ser capitalizado como </w:t>
      </w:r>
      <w:r>
        <w:rPr>
          <w:rStyle w:val="Forte"/>
          <w:rFonts w:ascii="Calibri" w:hAnsi="Calibri" w:cs="Calibri"/>
          <w:color w:val="1E293B"/>
          <w:sz w:val="22"/>
          <w:szCs w:val="22"/>
        </w:rPr>
        <w:t>vetor de integração</w:t>
      </w:r>
      <w:r>
        <w:rPr>
          <w:rFonts w:ascii="Calibri" w:hAnsi="Calibri" w:cs="Calibri"/>
          <w:color w:val="1E293B"/>
          <w:sz w:val="22"/>
          <w:szCs w:val="22"/>
        </w:rPr>
        <w:t xml:space="preserve">, não como capacidade isolada. A Empresa Teste Maturidade IA deve arquitetar uma </w:t>
      </w:r>
      <w:r>
        <w:rPr>
          <w:rStyle w:val="Forte"/>
          <w:rFonts w:ascii="Calibri" w:hAnsi="Calibri" w:cs="Calibri"/>
          <w:color w:val="1E293B"/>
          <w:sz w:val="22"/>
          <w:szCs w:val="22"/>
        </w:rPr>
        <w:t>Composable AI Platform</w:t>
      </w:r>
      <w:r>
        <w:rPr>
          <w:rFonts w:ascii="Calibri" w:hAnsi="Calibri" w:cs="Calibri"/>
          <w:color w:val="1E293B"/>
          <w:sz w:val="22"/>
          <w:szCs w:val="22"/>
        </w:rPr>
        <w:t xml:space="preserve"> onde agentes autônomos consomem outputs de modelos analíticos (sinais preditivos) e disparam ações via RPA cognitivo (execução em sistemas legados). Um caso de uso concreto para o setor tech: um </w:t>
      </w:r>
      <w:r>
        <w:rPr>
          <w:rStyle w:val="Forte"/>
          <w:rFonts w:ascii="Calibri" w:hAnsi="Calibri" w:cs="Calibri"/>
          <w:color w:val="1E293B"/>
          <w:sz w:val="22"/>
          <w:szCs w:val="22"/>
        </w:rPr>
        <w:t>Autonomous Incident Response Agent</w:t>
      </w:r>
      <w:r>
        <w:rPr>
          <w:rFonts w:ascii="Calibri" w:hAnsi="Calibri" w:cs="Calibri"/>
          <w:color w:val="1E293B"/>
          <w:sz w:val="22"/>
          <w:szCs w:val="22"/>
        </w:rPr>
        <w:t xml:space="preserve"> que (i) detecta anomalia via modelo de séries temporais [IA Analítica], (ii) gera hipótese de causa-raiz via LLM com RAG sobre histórico de incidentes [IA Generativa], (iii) executa runbook de remediação via agente orquestrador [IA Agêntica] e (iv) atualiza ticket no ITSM via RPA cognitivo [IA Robótica]. O </w:t>
      </w:r>
      <w:r>
        <w:rPr>
          <w:rStyle w:val="Forte"/>
          <w:rFonts w:ascii="Calibri" w:hAnsi="Calibri" w:cs="Calibri"/>
          <w:color w:val="1E293B"/>
          <w:sz w:val="22"/>
          <w:szCs w:val="22"/>
        </w:rPr>
        <w:t>Playbook Atlas</w:t>
      </w:r>
      <w:r>
        <w:rPr>
          <w:rFonts w:ascii="Calibri" w:hAnsi="Calibri" w:cs="Calibri"/>
          <w:color w:val="1E293B"/>
          <w:sz w:val="22"/>
          <w:szCs w:val="22"/>
        </w:rPr>
        <w:t xml:space="preserve"> oferece o </w:t>
      </w:r>
      <w:r>
        <w:rPr>
          <w:rStyle w:val="Forte"/>
          <w:rFonts w:ascii="Calibri" w:hAnsi="Calibri" w:cs="Calibri"/>
          <w:color w:val="1E293B"/>
          <w:sz w:val="22"/>
          <w:szCs w:val="22"/>
        </w:rPr>
        <w:t>Multi-Agent Orchestration Blueprint</w:t>
      </w:r>
      <w:r>
        <w:rPr>
          <w:rFonts w:ascii="Calibri" w:hAnsi="Calibri" w:cs="Calibri"/>
          <w:color w:val="1E293B"/>
          <w:sz w:val="22"/>
          <w:szCs w:val="22"/>
        </w:rPr>
        <w:t xml:space="preserve">, o </w:t>
      </w:r>
      <w:r>
        <w:rPr>
          <w:rStyle w:val="Forte"/>
          <w:rFonts w:ascii="Calibri" w:hAnsi="Calibri" w:cs="Calibri"/>
          <w:color w:val="1E293B"/>
          <w:sz w:val="22"/>
          <w:szCs w:val="22"/>
        </w:rPr>
        <w:t>Agentic Workflow Engine</w:t>
      </w:r>
      <w:r>
        <w:rPr>
          <w:rFonts w:ascii="Calibri" w:hAnsi="Calibri" w:cs="Calibri"/>
          <w:color w:val="1E293B"/>
          <w:sz w:val="22"/>
          <w:szCs w:val="22"/>
        </w:rPr>
        <w:t xml:space="preserve"> e o </w:t>
      </w:r>
      <w:r>
        <w:rPr>
          <w:rStyle w:val="Forte"/>
          <w:rFonts w:ascii="Calibri" w:hAnsi="Calibri" w:cs="Calibri"/>
          <w:color w:val="1E293B"/>
          <w:sz w:val="22"/>
          <w:szCs w:val="22"/>
        </w:rPr>
        <w:t>RPA Cognitive Connector</w:t>
      </w:r>
      <w:r>
        <w:rPr>
          <w:rFonts w:ascii="Calibri" w:hAnsi="Calibri" w:cs="Calibri"/>
          <w:color w:val="1E293B"/>
          <w:sz w:val="22"/>
          <w:szCs w:val="22"/>
        </w:rPr>
        <w:t xml:space="preserve"> como aceleradores para esse padrão arquitetural.</w:t>
      </w:r>
    </w:p>
    <w:p w14:paraId="29FB95A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0A8944C">
          <v:rect id="_x0000_i1077" alt="" style="width:425.2pt;height:.05pt;mso-width-percent:0;mso-height-percent:0;mso-width-percent:0;mso-height-percent:0" o:hralign="center" o:hrstd="t" o:hr="t" fillcolor="#a0a0a0" stroked="f"/>
        </w:pict>
      </w:r>
    </w:p>
    <w:p w14:paraId="33A8E14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3.15.6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2317"/>
        <w:gridCol w:w="1598"/>
        <w:gridCol w:w="2345"/>
        <w:gridCol w:w="2228"/>
      </w:tblGrid>
      <w:tr w:rsidR="00000000" w14:paraId="28CBDA7B" w14:textId="77777777">
        <w:trPr>
          <w:divId w:val="571357165"/>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0D7A18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B5BD8F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D9F1C0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C02F70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3F637B70" w14:textId="77777777">
        <w:trPr>
          <w:divId w:val="57135716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F895BB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Modelos analíticos/ML clássicos em produção com monitoramento de drift ativo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90CD8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~0–1 modelos (score [Q1]: 1.88)</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28AD0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 modelos em produção com alertas automáticos de drift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4828CE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 modelos com feature store centralizada e Model Registry operacional</w:t>
            </w:r>
          </w:p>
        </w:tc>
      </w:tr>
      <w:tr w:rsidR="00000000" w14:paraId="715F70B6" w14:textId="77777777">
        <w:trPr>
          <w:divId w:val="57135716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83608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adoção de IA Generativa no ciclo de desenvolvimento</w:t>
            </w:r>
            <w:r>
              <w:rPr>
                <w:rFonts w:ascii="Calibri" w:eastAsia="Times New Roman" w:hAnsi="Calibri" w:cs="Calibri"/>
                <w:color w:val="1E293B"/>
                <w:sz w:val="21"/>
                <w:szCs w:val="21"/>
              </w:rPr>
              <w:t xml:space="preserve"> (% engenheiros com ferramenta ativa + métrica de aceitação de sugestões)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1A5F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&lt;15% dos engenheiros com uso regular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DBF50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 dos squads de engenharia com GitHub Copilot/equivalente e baseline de aceitação &gt;25%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52F3C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 de adoção; aceitação &gt;35%; RAG corporativo com &gt;500 consultas/semana</w:t>
            </w:r>
          </w:p>
        </w:tc>
      </w:tr>
      <w:tr w:rsidR="00000000" w14:paraId="5BB35470" w14:textId="77777777">
        <w:trPr>
          <w:divId w:val="57135716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73D84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Cobertura do AI Types Roadmap</w:t>
            </w:r>
            <w:r>
              <w:rPr>
                <w:rFonts w:ascii="Calibri" w:eastAsia="Times New Roman" w:hAnsi="Calibri" w:cs="Calibri"/>
                <w:color w:val="1E293B"/>
                <w:sz w:val="21"/>
                <w:szCs w:val="21"/>
              </w:rPr>
              <w:t xml:space="preserve"> (% dos 4 paradigmas com OKRs, Tech Lead e marcos definidos para os próximos 12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3CCD5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formalizado (score [Q6]: 2.00)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F9D9F2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de 4 paradigmas com roadmap aprovado e Tech Lead designado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CF059D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 de 4 paradigmas com roadmap publicado, revisado trimestralmente e vinculado a OKRs de produto</w:t>
            </w:r>
          </w:p>
        </w:tc>
      </w:tr>
      <w:tr w:rsidR="00000000" w14:paraId="11E04D07" w14:textId="77777777">
        <w:trPr>
          <w:divId w:val="57135716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9BB238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Nível de integração multi-tipo de IA</w:t>
            </w:r>
            <w:r>
              <w:rPr>
                <w:rFonts w:ascii="Calibri" w:eastAsia="Times New Roman" w:hAnsi="Calibri" w:cs="Calibri"/>
                <w:color w:val="1E293B"/>
                <w:sz w:val="21"/>
                <w:szCs w:val="21"/>
              </w:rPr>
              <w:t xml:space="preserve"> (casos de uso em produção combinando ≥2 paradigmas)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B4EDFE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 casos integrados (score [Q5]: 2.25)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BEFEC3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 caso de uso piloto integrando IA Analítica + Agêntica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46EC3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casos de uso em produção com ≥3 paradigmas integrados (ex.: Analítica + Generativa + Agêntica)</w:t>
            </w:r>
          </w:p>
        </w:tc>
      </w:tr>
      <w:tr w:rsidR="00000000" w14:paraId="0A2A19BC" w14:textId="77777777">
        <w:trPr>
          <w:divId w:val="57135716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4F7B99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Velocidade de avaliação de novas tecnologias de IA</w:t>
            </w:r>
            <w:r>
              <w:rPr>
                <w:rFonts w:ascii="Calibri" w:eastAsia="Times New Roman" w:hAnsi="Calibri" w:cs="Calibri"/>
                <w:color w:val="1E293B"/>
                <w:sz w:val="21"/>
                <w:szCs w:val="21"/>
              </w:rPr>
              <w:t xml:space="preserve"> (tempo médio do scouting à decisão go/no-go documentada)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E98C57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Processo informal; sem SLA definido (score [Q8]: 2.63)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DBD1E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Technology Radar publicado com ciclo de revisão trimestral estabelecido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D11425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médio de avaliação ≤45 dias; ≥8 tecnologias avaliadas e classificadas nos últimos 12 meses</w:t>
            </w:r>
          </w:p>
        </w:tc>
      </w:tr>
    </w:tbl>
    <w:p w14:paraId="0C2A01E3"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3.16 Dimensão — Eficácia de IA (MIT CISR) — Score 2.84 · Nível 3</w:t>
      </w:r>
    </w:p>
    <w:p w14:paraId="42972AF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3.16.1 Análise Diagnóstica</w:t>
      </w:r>
    </w:p>
    <w:p w14:paraId="3C584D3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padrão de respostas da dimensão de Eficácia de IA revela uma empresa que conseguiu demonstrar valor pontual em casos de uso operacionais, mas ainda não converteu essas vitórias isoladas em uma máquina de entrega de valor sistêmica e contínua. O score de [Q1] = 3,5 — o mais alto da dimensão — indica que iniciativas voltadas à eficiência interna, como automação de pipelines de desenvolvimento, triagem de tickets de suporte (provável uso de LLMs ou classificadores), ou aceleração de code review com ferramentas como GitHub Copilot, já produziram ganhos mensuráveis. Esse resultado é coerente com o perfil de uma empresa de tecnologia grande, onde o "low-hanging fruit" da produtividade de engenharia é explorado primeiro. Contudo, o salto para eficácia junto ao cliente ([Q2] = 3,0) já apresenta queda, sinalizando que a personalização de jornadas, o uso de IA conversacional em canais de atendimento ou a redução de fricção em onboarding digital ainda operam em escala insuficiente ou sem monitoramento rigoroso de impacto.</w:t>
      </w:r>
    </w:p>
    <w:p w14:paraId="229686F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Os scores mais críticos estão em [Q4] = 2,14 e [Q5] = 2,14 — ambos abaixo da média da própria empresa (2,31) e dramaticamente distantes da média setorial (3,5). A pergunta [Q4] aponta que a IA ainda não está genuinamente embutida nos ciclos decisórios do dia a dia: reuniões de planejamento de produto, priorização de backlog, alocação de capacidade de times ou decisões de pricing de serviços gerenciados continuam sendo conduzidas com lógica predominantemente humana e heurística, sem suporte de modelos preditivos ou sistemas de recomendação integrados aos fluxos de trabalho. O [Q5] = 2,14 é igualmente preocupante num contexto de empresa de tecnologia — espera-se que a Empresa Teste Maturidade IA tenha o DNA técnico para operar IA com SLAs rigorosos (disponibilidade ≥ 99,5%, latência de inferência ≤ 200 ms p95, acurácia monitorada com drift detection), mas as respostas sugerem que acordos de nível de serviço formais para modelos em produção ainda não estão estabelecidos ou não são acompanhados sistematicamente, o que coloca a empresa abaixo do que ela mesma vende a clientes.</w:t>
      </w:r>
    </w:p>
    <w:p w14:paraId="03C407E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Sob a lente do MIT CISR Enterprise AI Maturity Model, esse perfil posiciona a Empresa Teste Maturidade IA firmemente no </w:t>
      </w:r>
      <w:r>
        <w:rPr>
          <w:rStyle w:val="Forte"/>
          <w:rFonts w:ascii="Calibri" w:hAnsi="Calibri" w:cs="Calibri"/>
          <w:color w:val="1E293B"/>
          <w:sz w:val="22"/>
          <w:szCs w:val="22"/>
        </w:rPr>
        <w:t>Estágio 2 — Build Pilots and Capabilities</w:t>
      </w:r>
      <w:r>
        <w:rPr>
          <w:rFonts w:ascii="Calibri" w:hAnsi="Calibri" w:cs="Calibri"/>
          <w:color w:val="1E293B"/>
          <w:sz w:val="22"/>
          <w:szCs w:val="22"/>
        </w:rPr>
        <w:t>: há capacidade de construir e escalar iniciativas individuais, mas falta a infraestrutura organizacional e técnica para que IA opere como camada sistêmica de tomada de decisão. A transição para o Estágio 3 (</w:t>
      </w:r>
      <w:r>
        <w:rPr>
          <w:rStyle w:val="nfase"/>
          <w:rFonts w:ascii="Calibri" w:hAnsi="Calibri" w:cs="Calibri"/>
          <w:color w:val="1E293B"/>
          <w:sz w:val="22"/>
          <w:szCs w:val="22"/>
        </w:rPr>
        <w:t>Develop AI Ways of Working</w:t>
      </w:r>
      <w:r>
        <w:rPr>
          <w:rFonts w:ascii="Calibri" w:hAnsi="Calibri" w:cs="Calibri"/>
          <w:color w:val="1E293B"/>
          <w:sz w:val="22"/>
          <w:szCs w:val="22"/>
        </w:rPr>
        <w:t>) exige justamente o que os scores de [Q4], [Q5] e [Q6] = 2,71 expõem como lacuna — governança de SLA sobre modelos em produção, integração de outputs de IA em workflows operacionais reais e experiência de usuário interno que gere adoção genuína, não apenas disponibilidade de ferramentas. O score de ecossistema ([Q3] = 2,86) adiciona uma camada: em empresas de tech, a capacidade de expor IA como diferencial competitivo para parceiros e clientes (APIs inteligentes, co-criação de soluções verticais com ISVs) ainda está subexplorada, limitando a criação de rede de valor.</w:t>
      </w:r>
    </w:p>
    <w:p w14:paraId="1270B4F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E045A7B">
          <v:rect id="_x0000_i1076" alt="" style="width:425.2pt;height:.05pt;mso-width-percent:0;mso-height-percent:0;mso-width-percent:0;mso-height-percent:0" o:hralign="center" o:hrstd="t" o:hr="t" fillcolor="#a0a0a0" stroked="f"/>
        </w:pict>
      </w:r>
    </w:p>
    <w:p w14:paraId="08DA2A9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3.16.2 Evidências Críticas</w:t>
      </w:r>
    </w:p>
    <w:p w14:paraId="34A1913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elevaram o score:</w:t>
      </w:r>
    </w:p>
    <w:p w14:paraId="354BDB92" w14:textId="77777777" w:rsidR="00000000" w:rsidRDefault="00000000">
      <w:pPr>
        <w:numPr>
          <w:ilvl w:val="0"/>
          <w:numId w:val="4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[Q1] Score 3,5 — Melhor resultado da dimensão</w:t>
      </w:r>
      <w:r>
        <w:rPr>
          <w:rFonts w:ascii="Calibri" w:eastAsia="Times New Roman" w:hAnsi="Calibri" w:cs="Calibri"/>
          <w:color w:val="1E293B"/>
          <w:sz w:val="22"/>
          <w:szCs w:val="22"/>
        </w:rPr>
        <w:t>: uso de IA para eficiência operacional interna está funcionando; prováveis aceleradores em automação de QA, geração assistida de código, triagem de incidentes e/ou redução de retrabalho em operações de TI gerenciadas.</w:t>
      </w:r>
    </w:p>
    <w:p w14:paraId="3A33308E" w14:textId="77777777" w:rsidR="00000000" w:rsidRDefault="00000000">
      <w:pPr>
        <w:numPr>
          <w:ilvl w:val="0"/>
          <w:numId w:val="4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[Q2] Score 3,0 — Acima da média da empresa</w:t>
      </w:r>
      <w:r>
        <w:rPr>
          <w:rFonts w:ascii="Calibri" w:eastAsia="Times New Roman" w:hAnsi="Calibri" w:cs="Calibri"/>
          <w:color w:val="1E293B"/>
          <w:sz w:val="22"/>
          <w:szCs w:val="22"/>
        </w:rPr>
        <w:t>: evidência de algum nível de personalização ou automação de experiência do cliente já em produção, ainda que sem cobertura total das jornadas ou sem monitoramento de impacto em NPS/CSAT de forma sistemática.</w:t>
      </w:r>
    </w:p>
    <w:p w14:paraId="58DA7A1F"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Fatores que puxaram o score para baixo:</w:t>
      </w:r>
    </w:p>
    <w:p w14:paraId="508BDC7D" w14:textId="77777777" w:rsidR="00000000" w:rsidRDefault="00000000">
      <w:pPr>
        <w:numPr>
          <w:ilvl w:val="0"/>
          <w:numId w:val="4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[Q4] Score 2,14 — IA ausente das decisões estratégicas do dia a dia</w:t>
      </w:r>
      <w:r>
        <w:rPr>
          <w:rFonts w:ascii="Calibri" w:eastAsia="Times New Roman" w:hAnsi="Calibri" w:cs="Calibri"/>
          <w:color w:val="1E293B"/>
          <w:sz w:val="22"/>
          <w:szCs w:val="22"/>
        </w:rPr>
        <w:t>: não há integração de modelos preditivos em ferramentas de gestão (CRM, ERP, ferramentas de delivery de projetos); decisões continuam sendo baseadas em relatórios estáticos e julgamento humano sem suporte analítico em tempo real.</w:t>
      </w:r>
    </w:p>
    <w:p w14:paraId="20969076" w14:textId="77777777" w:rsidR="00000000" w:rsidRDefault="00000000">
      <w:pPr>
        <w:numPr>
          <w:ilvl w:val="0"/>
          <w:numId w:val="4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[Q5] Score 2,14 — SLAs de negócio não formalizados para modelos em produção</w:t>
      </w:r>
      <w:r>
        <w:rPr>
          <w:rFonts w:ascii="Calibri" w:eastAsia="Times New Roman" w:hAnsi="Calibri" w:cs="Calibri"/>
          <w:color w:val="1E293B"/>
          <w:sz w:val="22"/>
          <w:szCs w:val="22"/>
        </w:rPr>
        <w:t>: ausência de contratos de nível de serviço específicos para IA (acurácia mínima, latência aceitável, janelas de retrain), o que significa que degradação de performance passa despercebida até virar incidente.</w:t>
      </w:r>
    </w:p>
    <w:p w14:paraId="4B30CBAB" w14:textId="77777777" w:rsidR="00000000" w:rsidRDefault="00000000">
      <w:pPr>
        <w:numPr>
          <w:ilvl w:val="0"/>
          <w:numId w:val="4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[Q6] Score 2,71 — Satisfação interna com ferramentas de IA abaixo do esperado</w:t>
      </w:r>
      <w:r>
        <w:rPr>
          <w:rFonts w:ascii="Calibri" w:eastAsia="Times New Roman" w:hAnsi="Calibri" w:cs="Calibri"/>
          <w:color w:val="1E293B"/>
          <w:sz w:val="22"/>
          <w:szCs w:val="22"/>
        </w:rPr>
        <w:t>: indica gap de adoção — as ferramentas existem, mas não estão suficientemente integradas ao contexto de trabalho dos usuários, carecem de UX adequada ou geram desconfiança por falta de explicabilidade.</w:t>
      </w:r>
    </w:p>
    <w:p w14:paraId="2A023FEE" w14:textId="77777777" w:rsidR="00000000" w:rsidRDefault="00000000">
      <w:pPr>
        <w:numPr>
          <w:ilvl w:val="0"/>
          <w:numId w:val="4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[Q3] Score 2,86 — Ecossistema subatendido</w:t>
      </w:r>
      <w:r>
        <w:rPr>
          <w:rFonts w:ascii="Calibri" w:eastAsia="Times New Roman" w:hAnsi="Calibri" w:cs="Calibri"/>
          <w:color w:val="1E293B"/>
          <w:sz w:val="22"/>
          <w:szCs w:val="22"/>
        </w:rPr>
        <w:t>: parceiros e fornecedores não percebem a Empresa Teste Maturidade IA como um hub de IA colaborativo; ausência de APIs produtizadas ou blueprints co-criados com parceiros para uso de IA em soluções verticais.</w:t>
      </w:r>
    </w:p>
    <w:p w14:paraId="335B5B0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CC3287F">
          <v:rect id="_x0000_i1075" alt="" style="width:425.2pt;height:.05pt;mso-width-percent:0;mso-height-percent:0;mso-width-percent:0;mso-height-percent:0" o:hralign="center" o:hrstd="t" o:hr="t" fillcolor="#a0a0a0" stroked="f"/>
        </w:pict>
      </w:r>
    </w:p>
    <w:p w14:paraId="52BF5BD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3.16.3 Risco de Negócio</w:t>
      </w:r>
    </w:p>
    <w:p w14:paraId="1233AB44"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Em uma empresa de tecnologia do porte da Empresa Teste Maturidade IA, a ausência de SLAs formais para modelos em produção ([Q5] = 2,14) combinada com baixa integração de IA em decisões operacionais ([Q4] = 2,14) cria um risco específico e mensurável: </w:t>
      </w:r>
      <w:r>
        <w:rPr>
          <w:rStyle w:val="Forte"/>
          <w:rFonts w:ascii="Calibri" w:hAnsi="Calibri" w:cs="Calibri"/>
          <w:color w:val="1E293B"/>
          <w:sz w:val="22"/>
          <w:szCs w:val="22"/>
        </w:rPr>
        <w:t>erosão silenciosa da qualidade de entrega e perda de credibilidade perante clientes B2B</w:t>
      </w:r>
      <w:r>
        <w:rPr>
          <w:rFonts w:ascii="Calibri" w:hAnsi="Calibri" w:cs="Calibri"/>
          <w:color w:val="1E293B"/>
          <w:sz w:val="22"/>
          <w:szCs w:val="22"/>
        </w:rPr>
        <w:t xml:space="preserve">. Quando a IA opera sem acordo de nível de serviço, um modelo de triagem de tickets ou predição de churn pode degradar gradualmente — por data drift, mudança de padrão de uso ou falha de infraestrutura — sem que haja alertas ou rollback automático; o resultado prático é que decisões erradas são tomadas com aparência de suporte analítico, o que é mais danoso do que não ter IA alguma. Para uma empresa que vende capacidade tecnológica ao mercado, ser surpreendida por falha de IA interna que impacte o SLA de um cliente — como um modelo de alocação de recursos que subestime demanda e cause atraso em um projeto crítico — representa risco de contrato, dano reputacional e, em contextos regulados, potencial exposição à LGPD se os modelos processarem dados pessoais sem governança adequada. A distância de 1,36 pontos em relação à média setorial nessa dimensão não é apenas estatística: é o gap entre ser percebido como empresa que </w:t>
      </w:r>
      <w:r>
        <w:rPr>
          <w:rStyle w:val="nfase"/>
          <w:rFonts w:ascii="Calibri" w:hAnsi="Calibri" w:cs="Calibri"/>
          <w:color w:val="1E293B"/>
          <w:sz w:val="22"/>
          <w:szCs w:val="22"/>
        </w:rPr>
        <w:t>usa</w:t>
      </w:r>
      <w:r>
        <w:rPr>
          <w:rFonts w:ascii="Calibri" w:hAnsi="Calibri" w:cs="Calibri"/>
          <w:color w:val="1E293B"/>
          <w:sz w:val="22"/>
          <w:szCs w:val="22"/>
        </w:rPr>
        <w:t xml:space="preserve"> IA e ser percebido como empresa que </w:t>
      </w:r>
      <w:r>
        <w:rPr>
          <w:rStyle w:val="nfase"/>
          <w:rFonts w:ascii="Calibri" w:hAnsi="Calibri" w:cs="Calibri"/>
          <w:color w:val="1E293B"/>
          <w:sz w:val="22"/>
          <w:szCs w:val="22"/>
        </w:rPr>
        <w:t>opera com</w:t>
      </w:r>
      <w:r>
        <w:rPr>
          <w:rFonts w:ascii="Calibri" w:hAnsi="Calibri" w:cs="Calibri"/>
          <w:color w:val="1E293B"/>
          <w:sz w:val="22"/>
          <w:szCs w:val="22"/>
        </w:rPr>
        <w:t xml:space="preserve"> IA.</w:t>
      </w:r>
    </w:p>
    <w:p w14:paraId="633E06D9"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9399C86">
          <v:rect id="_x0000_i1074" alt="" style="width:425.2pt;height:.05pt;mso-width-percent:0;mso-height-percent:0;mso-width-percent:0;mso-height-percent:0" o:hralign="center" o:hrstd="t" o:hr="t" fillcolor="#a0a0a0" stroked="f"/>
        </w:pict>
      </w:r>
    </w:p>
    <w:p w14:paraId="5D99A70B"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3.16.4 Benchmark Setorial</w:t>
      </w:r>
    </w:p>
    <w:p w14:paraId="6AAA46A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Empresas de tecnologia de grande porte que atingiram a média setorial de 3,5 nesta dimensão tipicamente apresentam três características ausentes no perfil atual da Empresa Teste Maturidade IA: (1) </w:t>
      </w:r>
      <w:r>
        <w:rPr>
          <w:rStyle w:val="Forte"/>
          <w:rFonts w:ascii="Calibri" w:hAnsi="Calibri" w:cs="Calibri"/>
          <w:color w:val="1E293B"/>
          <w:sz w:val="22"/>
          <w:szCs w:val="22"/>
        </w:rPr>
        <w:t>modelos em produção com observabilidade completa</w:t>
      </w:r>
      <w:r>
        <w:rPr>
          <w:rFonts w:ascii="Calibri" w:hAnsi="Calibri" w:cs="Calibri"/>
          <w:color w:val="1E293B"/>
          <w:sz w:val="22"/>
          <w:szCs w:val="22"/>
        </w:rPr>
        <w:t xml:space="preserve"> — stacks como MLflow + Grafana + alertas de drift automáticos (via Evidently AI ou Arize) que garantem SLAs de acurácia e latência monitorados em tempo real, equivalente ao que Totvs, CI&amp;T e Stefanini já implementaram em suas plataformas de serviços gerenciados; (2) </w:t>
      </w:r>
      <w:r>
        <w:rPr>
          <w:rStyle w:val="Forte"/>
          <w:rFonts w:ascii="Calibri" w:hAnsi="Calibri" w:cs="Calibri"/>
          <w:color w:val="1E293B"/>
          <w:sz w:val="22"/>
          <w:szCs w:val="22"/>
        </w:rPr>
        <w:t>IA embedded em decisões de gestão</w:t>
      </w:r>
      <w:r>
        <w:rPr>
          <w:rFonts w:ascii="Calibri" w:hAnsi="Calibri" w:cs="Calibri"/>
          <w:color w:val="1E293B"/>
          <w:sz w:val="22"/>
          <w:szCs w:val="22"/>
        </w:rPr>
        <w:t xml:space="preserve"> — uso de modelos preditivos integrados a ferramentas como Jira, Salesforce ou ServiceNow para priorização automática de backlog, forecast de utilização de squads e detecção precoce de risco de churn em carteiras de clientes; e (3) </w:t>
      </w:r>
      <w:r>
        <w:rPr>
          <w:rStyle w:val="Forte"/>
          <w:rFonts w:ascii="Calibri" w:hAnsi="Calibri" w:cs="Calibri"/>
          <w:color w:val="1E293B"/>
          <w:sz w:val="22"/>
          <w:szCs w:val="22"/>
        </w:rPr>
        <w:t>IA como produto de ecossistema</w:t>
      </w:r>
      <w:r>
        <w:rPr>
          <w:rFonts w:ascii="Calibri" w:hAnsi="Calibri" w:cs="Calibri"/>
          <w:color w:val="1E293B"/>
          <w:sz w:val="22"/>
          <w:szCs w:val="22"/>
        </w:rPr>
        <w:t xml:space="preserve"> — exposição de capacidades de IA via APIs produtizadas para parceiros ISVs, acelerando time-to-market de soluções verticais conjuntas. Empresas no topo do setor (score ≥ 4,0), como grandes consultorias tech globais (Accenture, Thoughtworks), já operam no </w:t>
      </w:r>
      <w:r>
        <w:rPr>
          <w:rStyle w:val="Forte"/>
          <w:rFonts w:ascii="Calibri" w:hAnsi="Calibri" w:cs="Calibri"/>
          <w:color w:val="1E293B"/>
          <w:sz w:val="22"/>
          <w:szCs w:val="22"/>
        </w:rPr>
        <w:t>Estágio 3 do MIT CISR</w:t>
      </w:r>
      <w:r>
        <w:rPr>
          <w:rFonts w:ascii="Calibri" w:hAnsi="Calibri" w:cs="Calibri"/>
          <w:color w:val="1E293B"/>
          <w:sz w:val="22"/>
          <w:szCs w:val="22"/>
        </w:rPr>
        <w:t xml:space="preserve">, com IA como </w:t>
      </w:r>
      <w:r>
        <w:rPr>
          <w:rStyle w:val="nfase"/>
          <w:rFonts w:ascii="Calibri" w:hAnsi="Calibri" w:cs="Calibri"/>
          <w:color w:val="1E293B"/>
          <w:sz w:val="22"/>
          <w:szCs w:val="22"/>
        </w:rPr>
        <w:t>way of working</w:t>
      </w:r>
      <w:r>
        <w:rPr>
          <w:rFonts w:ascii="Calibri" w:hAnsi="Calibri" w:cs="Calibri"/>
          <w:color w:val="1E293B"/>
          <w:sz w:val="22"/>
          <w:szCs w:val="22"/>
        </w:rPr>
        <w:t xml:space="preserve"> sistêmico, não como projeto isolado. A Empresa Teste Maturidade IA, com score 2,47 nesta dimensão, está 1,03 ponto abaixo da média setorial, posicionada entre as empresas que possuem IA funcional, mas ainda não eficaz em escala.</w:t>
      </w:r>
    </w:p>
    <w:p w14:paraId="2164957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6078C69">
          <v:rect id="_x0000_i1073" alt="" style="width:425.2pt;height:.05pt;mso-width-percent:0;mso-height-percent:0;mso-width-percent:0;mso-height-percent:0" o:hralign="center" o:hrstd="t" o:hr="t" fillcolor="#a0a0a0" stroked="f"/>
        </w:pict>
      </w:r>
    </w:p>
    <w:p w14:paraId="2AC5A25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3.16.5 Recomendações Específicas</w:t>
      </w:r>
    </w:p>
    <w:p w14:paraId="7AF17D0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1 — Implementar Observabilidade de Modelos em Produção com SLA Formal</w:t>
      </w:r>
    </w:p>
    <w:p w14:paraId="1D557F4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Estabelecer um </w:t>
      </w:r>
      <w:r>
        <w:rPr>
          <w:rStyle w:val="nfase"/>
          <w:rFonts w:ascii="Calibri" w:hAnsi="Calibri" w:cs="Calibri"/>
          <w:color w:val="1E293B"/>
          <w:sz w:val="22"/>
          <w:szCs w:val="22"/>
        </w:rPr>
        <w:t>Model SLA Framework</w:t>
      </w:r>
      <w:r>
        <w:rPr>
          <w:rFonts w:ascii="Calibri" w:hAnsi="Calibri" w:cs="Calibri"/>
          <w:color w:val="1E293B"/>
          <w:sz w:val="22"/>
          <w:szCs w:val="22"/>
        </w:rPr>
        <w:t xml:space="preserve"> para todos os modelos em produção, definindo thresholds de acurácia mínima, latência máxima (p95 e p99), disponibilidade e janelas de retrain. Implementar stack de MLOps observability com alertas automáticos e runbooks de resposta a incidentes de IA. Referenciar o </w:t>
      </w:r>
      <w:r>
        <w:rPr>
          <w:rStyle w:val="Forte"/>
          <w:rFonts w:ascii="Calibri" w:hAnsi="Calibri" w:cs="Calibri"/>
          <w:color w:val="1E293B"/>
          <w:sz w:val="22"/>
          <w:szCs w:val="22"/>
        </w:rPr>
        <w:t>Playbook Atlas — Motor de Observabilidade MLOps</w:t>
      </w:r>
      <w:r>
        <w:rPr>
          <w:rFonts w:ascii="Calibri" w:hAnsi="Calibri" w:cs="Calibri"/>
          <w:color w:val="1E293B"/>
          <w:sz w:val="22"/>
          <w:szCs w:val="22"/>
        </w:rPr>
        <w:t xml:space="preserve"> (componentes: Evidently AI ou Arize para drift detection, Prometheus + Grafana para latência de inferência, pipeline automatizado de retrain com validação de champion/challenger). Alinhar ao NIST AI RMF — função </w:t>
      </w:r>
      <w:r>
        <w:rPr>
          <w:rStyle w:val="nfase"/>
          <w:rFonts w:ascii="Calibri" w:hAnsi="Calibri" w:cs="Calibri"/>
          <w:color w:val="1E293B"/>
          <w:sz w:val="22"/>
          <w:szCs w:val="22"/>
        </w:rPr>
        <w:t>Manage</w:t>
      </w:r>
      <w:r>
        <w:rPr>
          <w:rFonts w:ascii="Calibri" w:hAnsi="Calibri" w:cs="Calibri"/>
          <w:color w:val="1E293B"/>
          <w:sz w:val="22"/>
          <w:szCs w:val="22"/>
        </w:rPr>
        <w:t>, categoria MG-2 (monitoramento de performance pós-deploy).</w:t>
      </w:r>
    </w:p>
    <w:p w14:paraId="7401BB69" w14:textId="77777777" w:rsidR="00000000" w:rsidRDefault="00000000">
      <w:pPr>
        <w:pStyle w:val="NormalWeb"/>
        <w:shd w:val="clear" w:color="auto" w:fill="FAF5FF"/>
        <w:spacing w:before="0" w:beforeAutospacing="0" w:after="120" w:afterAutospacing="0"/>
        <w:divId w:val="2143690938"/>
        <w:rPr>
          <w:rFonts w:ascii="Calibri" w:hAnsi="Calibri" w:cs="Calibri"/>
          <w:i/>
          <w:iCs/>
          <w:color w:val="581C87"/>
          <w:sz w:val="22"/>
          <w:szCs w:val="22"/>
        </w:rPr>
      </w:pPr>
      <w:r>
        <w:rPr>
          <w:rStyle w:val="Forte"/>
          <w:rFonts w:ascii="Calibri" w:hAnsi="Calibri" w:cs="Calibri"/>
          <w:i/>
          <w:iCs/>
          <w:color w:val="581C87"/>
          <w:sz w:val="22"/>
          <w:szCs w:val="22"/>
        </w:rPr>
        <w:t>KPI de referência</w:t>
      </w:r>
      <w:r>
        <w:rPr>
          <w:rFonts w:ascii="Calibri" w:hAnsi="Calibri" w:cs="Calibri"/>
          <w:i/>
          <w:iCs/>
          <w:color w:val="581C87"/>
          <w:sz w:val="22"/>
          <w:szCs w:val="22"/>
        </w:rPr>
        <w:t>: % de modelos em produção com SLA documentado e monitorado ativamente.</w:t>
      </w:r>
    </w:p>
    <w:p w14:paraId="017F9074"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2 — Integrar Outputs de IA nos Fluxos de Decisão Operacional (AI-Embedded Operations)</w:t>
      </w:r>
    </w:p>
    <w:p w14:paraId="15D5556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Conectar modelos preditivos existentes diretamente nas ferramentas de trabalho dos gestores e líderes de delivery: forecast de utilização de squads no Jira/Tempo, modelos de risco de churn integrados ao CRM (Salesforce/HubSpot) com alertas acionáveis, e recommender de priorização de backlog baseado em valor de negócio estimado. Referenciar </w:t>
      </w:r>
      <w:r>
        <w:rPr>
          <w:rStyle w:val="Forte"/>
          <w:rFonts w:ascii="Calibri" w:hAnsi="Calibri" w:cs="Calibri"/>
          <w:color w:val="1E293B"/>
          <w:sz w:val="22"/>
          <w:szCs w:val="22"/>
        </w:rPr>
        <w:t>Playbook Atlas — Blueprint de AI-Embedded Workflow</w:t>
      </w:r>
      <w:r>
        <w:rPr>
          <w:rFonts w:ascii="Calibri" w:hAnsi="Calibri" w:cs="Calibri"/>
          <w:color w:val="1E293B"/>
          <w:sz w:val="22"/>
          <w:szCs w:val="22"/>
        </w:rPr>
        <w:t xml:space="preserve"> (agentes de decisão integrados via APIs REST/GraphQL a ferramentas SaaS, com painel de confiança e explicabilidade para o gestor). Essa ação ataca diretamente o [Q4] e é a principal alavanca para a transição ao Estágio 3 do MIT CISR.</w:t>
      </w:r>
    </w:p>
    <w:p w14:paraId="343B4C02" w14:textId="77777777" w:rsidR="00000000" w:rsidRDefault="00000000">
      <w:pPr>
        <w:pStyle w:val="NormalWeb"/>
        <w:shd w:val="clear" w:color="auto" w:fill="FAF5FF"/>
        <w:spacing w:before="0" w:beforeAutospacing="0" w:after="120" w:afterAutospacing="0"/>
        <w:divId w:val="573514095"/>
        <w:rPr>
          <w:rFonts w:ascii="Calibri" w:hAnsi="Calibri" w:cs="Calibri"/>
          <w:i/>
          <w:iCs/>
          <w:color w:val="581C87"/>
          <w:sz w:val="22"/>
          <w:szCs w:val="22"/>
        </w:rPr>
      </w:pPr>
      <w:r>
        <w:rPr>
          <w:rStyle w:val="Forte"/>
          <w:rFonts w:ascii="Calibri" w:hAnsi="Calibri" w:cs="Calibri"/>
          <w:i/>
          <w:iCs/>
          <w:color w:val="581C87"/>
          <w:sz w:val="22"/>
          <w:szCs w:val="22"/>
        </w:rPr>
        <w:t>KPI de referência</w:t>
      </w:r>
      <w:r>
        <w:rPr>
          <w:rFonts w:ascii="Calibri" w:hAnsi="Calibri" w:cs="Calibri"/>
          <w:i/>
          <w:iCs/>
          <w:color w:val="581C87"/>
          <w:sz w:val="22"/>
          <w:szCs w:val="22"/>
        </w:rPr>
        <w:t>: % de decisões operacionais semanais com suporte documentado de output de IA.</w:t>
      </w:r>
    </w:p>
    <w:p w14:paraId="61DFAF0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3 — Programa de Developer &amp; Operator Experience para Ferramentas de IA Internas</w:t>
      </w:r>
    </w:p>
    <w:p w14:paraId="5D4B380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Lançar ciclo estruturado de feedback e melhoria contínua das ferramentas de IA internas, com foco em UX, explicabilidade e contexto de uso. Incluir: pesquisa trimestral de satisfação (eNPS de IA), sessões de co-design com usuários-âncora por área (engenharia, operações, comercial), e roadmap público de melhorias priorizadas pelo próprio usuário interno. Referenciar </w:t>
      </w:r>
      <w:r>
        <w:rPr>
          <w:rStyle w:val="Forte"/>
          <w:rFonts w:ascii="Calibri" w:hAnsi="Calibri" w:cs="Calibri"/>
          <w:color w:val="1E293B"/>
          <w:sz w:val="22"/>
          <w:szCs w:val="22"/>
        </w:rPr>
        <w:t>Playbook Atlas — Componente de AI Feedback Loop &amp; Explainability</w:t>
      </w:r>
      <w:r>
        <w:rPr>
          <w:rFonts w:ascii="Calibri" w:hAnsi="Calibri" w:cs="Calibri"/>
          <w:color w:val="1E293B"/>
          <w:sz w:val="22"/>
          <w:szCs w:val="22"/>
        </w:rPr>
        <w:t xml:space="preserve"> (SHAP/LIME para outputs de modelos expostos a usuários, interface de feedback inline em ferramentas). Essa ação endereça [Q6] e cria o ciclo virtuoso de adoção → dados de qualidade → modelos melhores.</w:t>
      </w:r>
    </w:p>
    <w:p w14:paraId="29B19D3E" w14:textId="77777777" w:rsidR="00000000" w:rsidRDefault="00000000">
      <w:pPr>
        <w:pStyle w:val="NormalWeb"/>
        <w:shd w:val="clear" w:color="auto" w:fill="FAF5FF"/>
        <w:spacing w:before="0" w:beforeAutospacing="0" w:after="120" w:afterAutospacing="0"/>
        <w:divId w:val="874661296"/>
        <w:rPr>
          <w:rFonts w:ascii="Calibri" w:hAnsi="Calibri" w:cs="Calibri"/>
          <w:i/>
          <w:iCs/>
          <w:color w:val="581C87"/>
          <w:sz w:val="22"/>
          <w:szCs w:val="22"/>
        </w:rPr>
      </w:pPr>
      <w:r>
        <w:rPr>
          <w:rStyle w:val="Forte"/>
          <w:rFonts w:ascii="Calibri" w:hAnsi="Calibri" w:cs="Calibri"/>
          <w:i/>
          <w:iCs/>
          <w:color w:val="581C87"/>
          <w:sz w:val="22"/>
          <w:szCs w:val="22"/>
        </w:rPr>
        <w:t>KPI de referência</w:t>
      </w:r>
      <w:r>
        <w:rPr>
          <w:rFonts w:ascii="Calibri" w:hAnsi="Calibri" w:cs="Calibri"/>
          <w:i/>
          <w:iCs/>
          <w:color w:val="581C87"/>
          <w:sz w:val="22"/>
          <w:szCs w:val="22"/>
        </w:rPr>
        <w:t>: eNPS interno de ferramentas de IA (baseline → meta).</w:t>
      </w:r>
    </w:p>
    <w:p w14:paraId="1DEA238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Ação 4 — Produtizar IA para o Ecossistema via API Gateway Inteligente</w:t>
      </w:r>
    </w:p>
    <w:p w14:paraId="3A628B6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Identificar os 2–3 modelos internos de maior maturidade (ex.: classificador de incidentes, preditor de prazo de projeto, detector de anomalias em pipelines) e produtizá-los como APIs consumíveis por parceiros e clientes estratégicos, com documentação, sandbox e SLA explícito. Referenciar </w:t>
      </w:r>
      <w:r>
        <w:rPr>
          <w:rStyle w:val="Forte"/>
          <w:rFonts w:ascii="Calibri" w:hAnsi="Calibri" w:cs="Calibri"/>
          <w:color w:val="1E293B"/>
          <w:sz w:val="22"/>
          <w:szCs w:val="22"/>
        </w:rPr>
        <w:t>Playbook Atlas — Blueprint de AI API Productization</w:t>
      </w:r>
      <w:r>
        <w:rPr>
          <w:rFonts w:ascii="Calibri" w:hAnsi="Calibri" w:cs="Calibri"/>
          <w:color w:val="1E293B"/>
          <w:sz w:val="22"/>
          <w:szCs w:val="22"/>
        </w:rPr>
        <w:t xml:space="preserve"> (API Gateway com autenticação OAuth2, rate limiting, versionamento de modelos, contrato de SLA publicado). Essa ação endereça [Q3] e posiciona a Empresa Teste Maturidade IA como hub de IA no ecossistema, criando barreira competitiva por efeito de rede.</w:t>
      </w:r>
    </w:p>
    <w:p w14:paraId="718AA437" w14:textId="77777777" w:rsidR="00000000" w:rsidRDefault="00000000">
      <w:pPr>
        <w:pStyle w:val="NormalWeb"/>
        <w:shd w:val="clear" w:color="auto" w:fill="FAF5FF"/>
        <w:spacing w:before="0" w:beforeAutospacing="0" w:after="120" w:afterAutospacing="0"/>
        <w:divId w:val="2136827619"/>
        <w:rPr>
          <w:rFonts w:ascii="Calibri" w:hAnsi="Calibri" w:cs="Calibri"/>
          <w:i/>
          <w:iCs/>
          <w:color w:val="581C87"/>
          <w:sz w:val="22"/>
          <w:szCs w:val="22"/>
        </w:rPr>
      </w:pPr>
      <w:r>
        <w:rPr>
          <w:rStyle w:val="Forte"/>
          <w:rFonts w:ascii="Calibri" w:hAnsi="Calibri" w:cs="Calibri"/>
          <w:i/>
          <w:iCs/>
          <w:color w:val="581C87"/>
          <w:sz w:val="22"/>
          <w:szCs w:val="22"/>
        </w:rPr>
        <w:t>KPI de referência</w:t>
      </w:r>
      <w:r>
        <w:rPr>
          <w:rFonts w:ascii="Calibri" w:hAnsi="Calibri" w:cs="Calibri"/>
          <w:i/>
          <w:iCs/>
          <w:color w:val="581C87"/>
          <w:sz w:val="22"/>
          <w:szCs w:val="22"/>
        </w:rPr>
        <w:t>: número de APIs de IA com parceiros ativos consumindo em produção.</w:t>
      </w:r>
    </w:p>
    <w:p w14:paraId="6ECABBD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9C39753">
          <v:rect id="_x0000_i1072" alt="" style="width:425.2pt;height:.05pt;mso-width-percent:0;mso-height-percent:0;mso-width-percent:0;mso-height-percent:0" o:hralign="center" o:hrstd="t" o:hr="t" fillcolor="#a0a0a0" stroked="f"/>
        </w:pict>
      </w:r>
    </w:p>
    <w:p w14:paraId="72958D5B"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3.16.6 KPIs de Acompanhamento</w:t>
      </w:r>
    </w:p>
    <w:tbl>
      <w:tblPr>
        <w:tblW w:w="5000" w:type="pct"/>
        <w:tblCellMar>
          <w:top w:w="15" w:type="dxa"/>
          <w:left w:w="15" w:type="dxa"/>
          <w:bottom w:w="15" w:type="dxa"/>
          <w:right w:w="15" w:type="dxa"/>
        </w:tblCellMar>
        <w:tblLook w:val="04A0" w:firstRow="1" w:lastRow="0" w:firstColumn="1" w:lastColumn="0" w:noHBand="0" w:noVBand="1"/>
      </w:tblPr>
      <w:tblGrid>
        <w:gridCol w:w="4276"/>
        <w:gridCol w:w="1761"/>
        <w:gridCol w:w="1205"/>
        <w:gridCol w:w="1246"/>
      </w:tblGrid>
      <w:tr w:rsidR="00000000" w14:paraId="6947C50B" w14:textId="77777777">
        <w:trPr>
          <w:divId w:val="1950625368"/>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E5CE34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C88FBE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E35B62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D999DC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534CDD2B" w14:textId="77777777">
        <w:trPr>
          <w:divId w:val="195062536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15F35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modelos em produção com SLA documentado e monitorado (acurácia + latência)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9BF3C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(estimado)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E4451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3BEF0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90%</w:t>
            </w:r>
          </w:p>
        </w:tc>
      </w:tr>
      <w:tr w:rsidR="00000000" w14:paraId="450E6EB4" w14:textId="77777777">
        <w:trPr>
          <w:divId w:val="195062536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CD925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decisões operacionais semanais com suporte de output de IA integrado ao workflow</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74C82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15%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62FA69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D168C3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r>
      <w:tr w:rsidR="00000000" w14:paraId="642D84FB" w14:textId="77777777">
        <w:trPr>
          <w:divId w:val="195062536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5B9BCD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eNPS interno de ferramentas de IA (escala −100 a +100)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18F63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Estimado −10 a +10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4E6DB3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7590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+45</w:t>
            </w:r>
          </w:p>
        </w:tc>
      </w:tr>
      <w:tr w:rsidR="00000000" w14:paraId="716ED40A" w14:textId="77777777">
        <w:trPr>
          <w:divId w:val="195062536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5375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Número de APIs de IA produtizadas e consumidas por parceiros/clientes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9BEC58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0–1</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AC6FE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04EFDE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4–5</w:t>
            </w:r>
          </w:p>
        </w:tc>
      </w:tr>
      <w:tr w:rsidR="00000000" w14:paraId="0D70553F" w14:textId="77777777">
        <w:trPr>
          <w:divId w:val="195062536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C9770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MTTD de degradação de modelo em produção (Mean Time to Detect drift/falha)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E7FEE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monitorado (N/A)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92B39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48 horas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53D71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 horas</w:t>
            </w:r>
          </w:p>
        </w:tc>
      </w:tr>
    </w:tbl>
    <w:p w14:paraId="2982FFF8"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4. ANÁLISE DE GAPS PRIORITÁRIOS</w:t>
      </w:r>
    </w:p>
    <w:p w14:paraId="21A29BC5"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Tabela de Top 5 Gaps Críticos</w:t>
      </w:r>
    </w:p>
    <w:tbl>
      <w:tblPr>
        <w:tblW w:w="5000" w:type="pct"/>
        <w:tblCellMar>
          <w:top w:w="15" w:type="dxa"/>
          <w:left w:w="15" w:type="dxa"/>
          <w:bottom w:w="15" w:type="dxa"/>
          <w:right w:w="15" w:type="dxa"/>
        </w:tblCellMar>
        <w:tblLook w:val="04A0" w:firstRow="1" w:lastRow="0" w:firstColumn="1" w:lastColumn="0" w:noHBand="0" w:noVBand="1"/>
      </w:tblPr>
      <w:tblGrid>
        <w:gridCol w:w="507"/>
        <w:gridCol w:w="1623"/>
        <w:gridCol w:w="881"/>
        <w:gridCol w:w="1812"/>
        <w:gridCol w:w="1696"/>
        <w:gridCol w:w="1781"/>
        <w:gridCol w:w="1312"/>
      </w:tblGrid>
      <w:tr w:rsidR="00000000" w14:paraId="1E34A8DC" w14:textId="77777777">
        <w:trPr>
          <w:divId w:val="102046928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63EA3C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C1D6FD1"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Dimensão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057880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Score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90B66D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Risco Predominante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575133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Impacto Financeiro Estimado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76EAE9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Esforço de Endereçamento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C2BFA7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Prioridade</w:t>
            </w:r>
          </w:p>
        </w:tc>
      </w:tr>
      <w:tr w:rsidR="00000000" w14:paraId="0775D33C" w14:textId="77777777">
        <w:trPr>
          <w:divId w:val="102046928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3EBC8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D3D1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2A2C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1.58</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FEA5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Regulatório / Reputacional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1971F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R$ 2,0M–R$ 8,0M (multas LGPD + bloqueio de contratos)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36EC0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8094A5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P1</w:t>
            </w:r>
          </w:p>
        </w:tc>
      </w:tr>
      <w:tr w:rsidR="00000000" w14:paraId="64B0E5F5" w14:textId="77777777">
        <w:trPr>
          <w:divId w:val="102046928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3560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BBD94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8ACC2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1.98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4C62A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Operacional / Produtividade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5F8E6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R$ 1,8M–R$ 3,6M (ineficiência e retrabalho anual)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E6EC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Médio-Alto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B15217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P1</w:t>
            </w:r>
          </w:p>
        </w:tc>
      </w:tr>
      <w:tr w:rsidR="00000000" w14:paraId="542A0D44" w14:textId="77777777">
        <w:trPr>
          <w:divId w:val="102046928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72D6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8E4A1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6BD4FE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AF8BA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Operacional / Fiduciário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8CDEE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R$ 1,5M–R$ 4,0M (fragilidade contratual + incidentes de modelo)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512DD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457B79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P1</w:t>
            </w:r>
          </w:p>
        </w:tc>
      </w:tr>
      <w:tr w:rsidR="00000000" w14:paraId="27FD3B6A" w14:textId="77777777">
        <w:trPr>
          <w:divId w:val="102046928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C4BD08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38AC6C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DF9432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2.07</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E92B84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Receita / Alocação Ineficiente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DB3D4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R$ 1,2M–R$ 2,5M (subotimização de portfólio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FB97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F7C2E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P2</w:t>
            </w:r>
          </w:p>
        </w:tc>
      </w:tr>
      <w:tr w:rsidR="00000000" w14:paraId="1742E2B3" w14:textId="77777777">
        <w:trPr>
          <w:divId w:val="102046928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DD120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0932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EB7BB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F5B7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Capacidade / Competitividade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9926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R$ 1,0M–R$ 2,0M (turnover + tempo perdido em baixa produtividade)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6C1C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Médio-Alto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7BDFB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P2</w:t>
            </w:r>
          </w:p>
        </w:tc>
      </w:tr>
    </w:tbl>
    <w:p w14:paraId="7BFFB7BA" w14:textId="77777777" w:rsidR="00000000" w:rsidRDefault="00000000">
      <w:pPr>
        <w:pStyle w:val="NormalWeb"/>
        <w:shd w:val="clear" w:color="auto" w:fill="FAF5FF"/>
        <w:spacing w:before="0" w:beforeAutospacing="0" w:after="120" w:afterAutospacing="0"/>
        <w:divId w:val="420177293"/>
        <w:rPr>
          <w:rFonts w:ascii="Calibri" w:hAnsi="Calibri" w:cs="Calibri"/>
          <w:i/>
          <w:iCs/>
          <w:color w:val="581C87"/>
          <w:sz w:val="22"/>
          <w:szCs w:val="22"/>
        </w:rPr>
      </w:pPr>
      <w:r>
        <w:rPr>
          <w:rStyle w:val="Forte"/>
          <w:rFonts w:ascii="Calibri" w:hAnsi="Calibri" w:cs="Calibri"/>
          <w:i/>
          <w:iCs/>
          <w:color w:val="581C87"/>
          <w:sz w:val="22"/>
          <w:szCs w:val="22"/>
        </w:rPr>
        <w:t>Base de calibragem:</w:t>
      </w:r>
      <w:r>
        <w:rPr>
          <w:rFonts w:ascii="Calibri" w:hAnsi="Calibri" w:cs="Calibri"/>
          <w:i/>
          <w:iCs/>
          <w:color w:val="581C87"/>
          <w:sz w:val="22"/>
          <w:szCs w:val="22"/>
        </w:rPr>
        <w:t xml:space="preserve"> faturamento anual de R$ 200M; referência de 1,8% = R$ 3,6M de retorno potencial/ano no nível atual. Os ranges de impacto estimado por gap refletem fração do valor travado, variando entre risco de penalidade direta e custo de oportunidade. Não são garantia contratual.</w:t>
      </w:r>
    </w:p>
    <w:p w14:paraId="1C385E7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518C6E5">
          <v:rect id="_x0000_i1071" alt="" style="width:425.2pt;height:.05pt;mso-width-percent:0;mso-height-percent:0;mso-width-percent:0;mso-height-percent:0" o:hralign="center" o:hrstd="t" o:hr="t" fillcolor="#a0a0a0" stroked="f"/>
        </w:pict>
      </w:r>
    </w:p>
    <w:p w14:paraId="398C0944"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Cadeia de Valor Bloqueada por Gap</w:t>
      </w:r>
    </w:p>
    <w:p w14:paraId="4C4C44F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Gap 1 — Conformidade Regulatória (1.58)</w:t>
      </w:r>
    </w:p>
    <w:p w14:paraId="24FF0B6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Este é o gap de maior urgência sistêmica para uma empresa de tecnologia que presta serviços a clientes de múltiplos setores regulados. Com score médio de apenas 1.17 em "gestão de riscos regulatórios com planos de mitigação documentados" e 1.33 em "auditoria de conformidade" e "envolvimento da área jurídica/compliance", a Empresa Teste Maturidade IA opera projetos de IA em zona de risco regulatório não coberta — o que é paradoxalmente mais grave justamente por atuar como fornecedora de soluções de IA para terceiros.</w:t>
      </w:r>
    </w:p>
    <w:p w14:paraId="67654D6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w:t>
      </w:r>
      <w:r>
        <w:rPr>
          <w:rStyle w:val="Forte"/>
          <w:rFonts w:ascii="Calibri" w:hAnsi="Calibri" w:cs="Calibri"/>
          <w:color w:val="1E293B"/>
          <w:sz w:val="22"/>
          <w:szCs w:val="22"/>
        </w:rPr>
        <w:t>cadeia de valor bloqueada</w:t>
      </w:r>
      <w:r>
        <w:rPr>
          <w:rFonts w:ascii="Calibri" w:hAnsi="Calibri" w:cs="Calibri"/>
          <w:color w:val="1E293B"/>
          <w:sz w:val="22"/>
          <w:szCs w:val="22"/>
        </w:rPr>
        <w:t xml:space="preserve"> é direta: sem conformidade documentada com LGPD e sem preparação para o EU AI Act (score 1.40), a empresa não consegue responder a due diligences de clientes enterprise, especialmente multinacionais com exigências de vendor risk management. Isso representa barreiras concretas à expansão de contratos de maior ticket, bloqueio de entrada em verticais como saúde e serviços financeiros — onde conformidade é pré-requisito de negócio, não diferencial — e exposição a sanções da ANPD que, somadas a cláusulas de responsabilidade em contratos de serviço, podem superar R$ 8M em um único incidente de violação. A ausência de explicabilidade dos modelos (1.83) também bloqueia a certificação de produtos de IA para clientes que exigem rastreabilidade de decisões algorítmicas.</w:t>
      </w:r>
    </w:p>
    <w:p w14:paraId="345834B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5086A3B">
          <v:rect id="_x0000_i1070" alt="" style="width:425.2pt;height:.05pt;mso-width-percent:0;mso-height-percent:0;mso-width-percent:0;mso-height-percent:0" o:hralign="center" o:hrstd="t" o:hr="t" fillcolor="#a0a0a0" stroked="f"/>
        </w:pict>
      </w:r>
    </w:p>
    <w:p w14:paraId="36EB8D27"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Gap 2 — Operações e Processos (1.98)</w:t>
      </w:r>
    </w:p>
    <w:p w14:paraId="0592D2E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Operações e Processos registra o score mais baixo entre as dimensões operacionais do ciclo de vida de IA, com dois indicadores empatados no fundo da escala: SLA definido para modelos (1.78) e monitoramento de performance em produção (1.78). Esses números revelam que a Empresa Teste Maturidade IA desenvolve capacidades de IA mas não as opera com disciplina de produto — o que é crítico para uma tech company cujo modelo de negócio depende de entregar IA funcionando em ambientes do cliente.</w:t>
      </w:r>
    </w:p>
    <w:p w14:paraId="6CB0E70A"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w:t>
      </w:r>
      <w:r>
        <w:rPr>
          <w:rStyle w:val="Forte"/>
          <w:rFonts w:ascii="Calibri" w:hAnsi="Calibri" w:cs="Calibri"/>
          <w:color w:val="1E293B"/>
          <w:sz w:val="22"/>
          <w:szCs w:val="22"/>
        </w:rPr>
        <w:t>cadeia de valor bloqueada</w:t>
      </w:r>
      <w:r>
        <w:rPr>
          <w:rFonts w:ascii="Calibri" w:hAnsi="Calibri" w:cs="Calibri"/>
          <w:color w:val="1E293B"/>
          <w:sz w:val="22"/>
          <w:szCs w:val="22"/>
        </w:rPr>
        <w:t xml:space="preserve"> começa na ausência de deploy contínuo confiável: sem pipelines de CI/CD para modelos (2.22) e sem monitoramento sistemático, toda iniciativa de IA que sai de um piloto exige reengenharia operacional manual, elevando o custo marginal de escala e tornando a industrialização virtualmente impossível. Isso se conecta diretamente ao gap de Plataforma e Industrialização (2.14): sem processos operacionais disciplinados, a plataforma centralizada nunca sai do papel. O resultado prático é que projetos de IA entregues aos clientes correm maior risco de degradação silenciosa de modelo (</w:t>
      </w:r>
      <w:r>
        <w:rPr>
          <w:rStyle w:val="nfase"/>
          <w:rFonts w:ascii="Calibri" w:hAnsi="Calibri" w:cs="Calibri"/>
          <w:color w:val="1E293B"/>
          <w:sz w:val="22"/>
          <w:szCs w:val="22"/>
        </w:rPr>
        <w:t>drift</w:t>
      </w:r>
      <w:r>
        <w:rPr>
          <w:rFonts w:ascii="Calibri" w:hAnsi="Calibri" w:cs="Calibri"/>
          <w:color w:val="1E293B"/>
          <w:sz w:val="22"/>
          <w:szCs w:val="22"/>
        </w:rPr>
        <w:t>) sem detecção — impactando SLAs, NPS e renovação de contratos, além de gerar retrabalho interno que corrói a margem dos projetos.</w:t>
      </w:r>
    </w:p>
    <w:p w14:paraId="599C5AA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31E05E0">
          <v:rect id="_x0000_i1069" alt="" style="width:425.2pt;height:.05pt;mso-width-percent:0;mso-height-percent:0;mso-width-percent:0;mso-height-percent:0" o:hralign="center" o:hrstd="t" o:hr="t" fillcolor="#a0a0a0" stroked="f"/>
        </w:pict>
      </w:r>
    </w:p>
    <w:p w14:paraId="5E4E816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Gap 3 — Governança e Risco (2.02)</w:t>
      </w:r>
    </w:p>
    <w:p w14:paraId="04C7F46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Governança e Risco ocupa a terceira posição crítica com score geral de 2.02, mas o que mais chama atenção é a consistência da fragilidade: nenhuma das seis perguntas ultrapassa 2.20, indicando que o problema não é pontual — é estrutural. A ausência de um comitê de ética em IA (2.10) e de processos sistemáticos para identificar vieses em modelos (1.80) são os sintomas mais visíveis de uma governança que ainda não foi institucionalizada.</w:t>
      </w:r>
    </w:p>
    <w:p w14:paraId="05F73FE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w:t>
      </w:r>
      <w:r>
        <w:rPr>
          <w:rStyle w:val="Forte"/>
          <w:rFonts w:ascii="Calibri" w:hAnsi="Calibri" w:cs="Calibri"/>
          <w:color w:val="1E293B"/>
          <w:sz w:val="22"/>
          <w:szCs w:val="22"/>
        </w:rPr>
        <w:t>cadeia de valor bloqueada</w:t>
      </w:r>
      <w:r>
        <w:rPr>
          <w:rFonts w:ascii="Calibri" w:hAnsi="Calibri" w:cs="Calibri"/>
          <w:color w:val="1E293B"/>
          <w:sz w:val="22"/>
          <w:szCs w:val="22"/>
        </w:rPr>
        <w:t xml:space="preserve"> aqui é fiduciária e de escala. Sem um framework de governança operante, cada novo projeto de IA nasce com risco não mapeado — o que significa que o portfólio de IA da empresa cresce em exposição absoluta proporcional à sua expansão. Para uma tech company que ambiciona o estágio de "IA como Gerador de Receita" (dimensão com score 2.37), a ausência de governança estruturada é o principal obstáculo para oferecer garantias de qualidade e segurança a clientes sofisticados. Adicionalmente, sem auditoria regular dos modelos em produção (1.90), a empresa não tem visibilidade de modelos degradados ou com comportamento indesejado nos clientes — o que representa risco de reputação de marca e potencial responsabilidade legal em incidentes causados por outputs algorítmicos.</w:t>
      </w:r>
    </w:p>
    <w:p w14:paraId="795A39E8"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D9C01C9">
          <v:rect id="_x0000_i1068" alt="" style="width:425.2pt;height:.05pt;mso-width-percent:0;mso-height-percent:0;mso-width-percent:0;mso-height-percent:0" o:hralign="center" o:hrstd="t" o:hr="t" fillcolor="#a0a0a0" stroked="f"/>
        </w:pict>
      </w:r>
    </w:p>
    <w:p w14:paraId="156C68B4"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Gap 4 — Valor por Unidade de Negócio (2.07)</w:t>
      </w:r>
    </w:p>
    <w:p w14:paraId="7AF978C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Com score de apenas 1.60 em "métricas específicas de valor gerado por IA por unidade" e 1.80 em "priorização de investimentos baseada em potencial de valor por unidade", este gap revela que a Empresa Teste Maturidade IA investe em IA de forma centralizada sem saber precisamente onde o retorno é gerado — ou onde está travado. A pergunta com melhor desempenho nesta dimensão (2.50 — "qual unidade serve de referência") sugere que existe ao menos uma área mais avançada, mas esse benchmarking interno não está sendo aproveitado sistematicamente.</w:t>
      </w:r>
    </w:p>
    <w:p w14:paraId="4F9AB39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w:t>
      </w:r>
      <w:r>
        <w:rPr>
          <w:rStyle w:val="Forte"/>
          <w:rFonts w:ascii="Calibri" w:hAnsi="Calibri" w:cs="Calibri"/>
          <w:color w:val="1E293B"/>
          <w:sz w:val="22"/>
          <w:szCs w:val="22"/>
        </w:rPr>
        <w:t>cadeia de valor bloqueada</w:t>
      </w:r>
      <w:r>
        <w:rPr>
          <w:rFonts w:ascii="Calibri" w:hAnsi="Calibri" w:cs="Calibri"/>
          <w:color w:val="1E293B"/>
          <w:sz w:val="22"/>
          <w:szCs w:val="22"/>
        </w:rPr>
        <w:t xml:space="preserve"> é de alocação de capital inteligente: sem mapeamento de valor por unidade, o orçamento de IA (já escasso, dado o score de 1.91 em "orçamento dedicado" na dimensão Estratégia) é distribuído por inércia política em vez de ROI potencial. Isso significa que unidades com maior capacidade de absorção e retorno de IA ficam subfinanciadas, enquanto iniciativas de baixo impacto consomem recursos. A referência do MIT CISR é clara: empresas no estágio 3 (Develop AI Ways of Working) constroem visibilidade de valor granular por domínio de negócio como pré-condição para escalar investimento. Sem isso, a Empresa Teste Maturidade IA não consegue fazer o business case interno para dobrar o orçamento de IA rumo ao nível 3.</w:t>
      </w:r>
    </w:p>
    <w:p w14:paraId="7CE8B77D"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0EEB5AD">
          <v:rect id="_x0000_i1067" alt="" style="width:425.2pt;height:.05pt;mso-width-percent:0;mso-height-percent:0;mso-width-percent:0;mso-height-percent:0" o:hralign="center" o:hrstd="t" o:hr="t" fillcolor="#a0a0a0" stroked="f"/>
        </w:pict>
      </w:r>
    </w:p>
    <w:p w14:paraId="06D43E7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Gap 5 — Talentos e Capacidades (2.10)</w:t>
      </w:r>
    </w:p>
    <w:p w14:paraId="176DC92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Talentos e Capacidades apresenta o score mais baixo entre todas as dimensões de pessoas: 1.56 em "análise de gap entre capacidades atuais e necessidades futuras" e 1.67 em "estratégia de Build vs. Buy vs. Borrow". O contraste com a dimensão irmã Pessoas e Cultura (2.71) é revelador — há boa vontade cultural e alguns talentos presentes, mas falta a disciplina de gestão de força de trabalho em IA: headcount planejado, perfis mapeados, trilhas de carreira (1.89 em "papéis especializados além de Data Scientist").</w:t>
      </w:r>
    </w:p>
    <w:p w14:paraId="69C9C5A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w:t>
      </w:r>
      <w:r>
        <w:rPr>
          <w:rStyle w:val="Forte"/>
          <w:rFonts w:ascii="Calibri" w:hAnsi="Calibri" w:cs="Calibri"/>
          <w:color w:val="1E293B"/>
          <w:sz w:val="22"/>
          <w:szCs w:val="22"/>
        </w:rPr>
        <w:t>cadeia de valor bloqueada</w:t>
      </w:r>
      <w:r>
        <w:rPr>
          <w:rFonts w:ascii="Calibri" w:hAnsi="Calibri" w:cs="Calibri"/>
          <w:color w:val="1E293B"/>
          <w:sz w:val="22"/>
          <w:szCs w:val="22"/>
        </w:rPr>
        <w:t xml:space="preserve"> é de capacidade de execução. Uma empresa de tecnologia que não sabe quantos profissionais de IA precisa contratar nos próximos 18 meses, nem em que especialidades (MLOps, AI Ethics, AI Product Manager), opera em modo reativo — recrutando em emergência com custo e tempo elevados, ou entregando projetos de IA com equipes subdimensionadas. O ponto mais crítico desta cadeia é que os gaps de Governança (2.02), Plataforma (2.14) e Conformidade (1.58) têm como causa-raiz compartilhada a ausência de papéis especializados: não há AI Ethics Officer, não há MLOps Engineer dedicado, não há AI Compliance Specialist. Resolver os outros gaps sem endereçar os talentos que os executarão é construir sobre areia.</w:t>
      </w:r>
    </w:p>
    <w:p w14:paraId="7CB0D9F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2A91A67">
          <v:rect id="_x0000_i1066" alt="" style="width:425.2pt;height:.05pt;mso-width-percent:0;mso-height-percent:0;mso-width-percent:0;mso-height-percent:0" o:hralign="center" o:hrstd="t" o:hr="t" fillcolor="#a0a0a0" stroked="f"/>
        </w:pict>
      </w:r>
    </w:p>
    <w:p w14:paraId="27A6659F"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5. ALAVANCAGEM DE PONTOS FORTES</w:t>
      </w:r>
    </w:p>
    <w:p w14:paraId="35954188"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Tabela de Top 5 Forças</w:t>
      </w:r>
    </w:p>
    <w:tbl>
      <w:tblPr>
        <w:tblW w:w="5000" w:type="pct"/>
        <w:tblCellMar>
          <w:top w:w="15" w:type="dxa"/>
          <w:left w:w="15" w:type="dxa"/>
          <w:bottom w:w="15" w:type="dxa"/>
          <w:right w:w="15" w:type="dxa"/>
        </w:tblCellMar>
        <w:tblLook w:val="04A0" w:firstRow="1" w:lastRow="0" w:firstColumn="1" w:lastColumn="0" w:noHBand="0" w:noVBand="1"/>
      </w:tblPr>
      <w:tblGrid>
        <w:gridCol w:w="507"/>
        <w:gridCol w:w="1536"/>
        <w:gridCol w:w="881"/>
        <w:gridCol w:w="2800"/>
        <w:gridCol w:w="2764"/>
      </w:tblGrid>
      <w:tr w:rsidR="00000000" w14:paraId="16D5295C" w14:textId="77777777">
        <w:trPr>
          <w:divId w:val="1332827977"/>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9FFBDC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321083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Dimensão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544D5E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Score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CD0154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Como Alavancar</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5CC39E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Quick Wins (90 dias)</w:t>
            </w:r>
          </w:p>
        </w:tc>
      </w:tr>
      <w:tr w:rsidR="00000000" w14:paraId="49495068" w14:textId="77777777">
        <w:trPr>
          <w:divId w:val="133282797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AA05FE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8AE9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D350D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7505F9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Transformar percepção interna de eficácia operacional (3.50) em cases documentados para vendas e marketing</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710E9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Publicar 3 cases de eficiência operacional com métricas validadas; usar como material de proposta comercial</w:t>
            </w:r>
          </w:p>
        </w:tc>
      </w:tr>
      <w:tr w:rsidR="00000000" w14:paraId="1A80C51B" w14:textId="77777777">
        <w:trPr>
          <w:divId w:val="133282797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C9E7D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739AC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99511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C93B6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Capitalizar sobre alta motivação dos colaboradores (3.50) e suporte da liderança intermediária (3.45) para acelerar programas de transformação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F9641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Mapear e formalizar rede de AI Champions por área; lançar sprint de mudança estruturada com metodologia ADKAR</w:t>
            </w:r>
          </w:p>
        </w:tc>
      </w:tr>
      <w:tr w:rsidR="00000000" w14:paraId="559B897F" w14:textId="77777777">
        <w:trPr>
          <w:divId w:val="133282797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91669F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ECC5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56E5BB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2.71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5C04A9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Usar cultura favorável à experimentação (3.00) como catalisador para hackathons, squads de inovação e programas de certificação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F9C8D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Realizar hackathon interno de IA com entrega de PoC em 30 dias; criar trilha de certificação com reconhecimento formal</w:t>
            </w:r>
          </w:p>
        </w:tc>
      </w:tr>
      <w:tr w:rsidR="00000000" w14:paraId="7844FCB9" w14:textId="77777777">
        <w:trPr>
          <w:divId w:val="133282797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F6A4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0BFB0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DA9BEF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10D76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Aproveitar adoção de cloud (3.25) para acelerar padronização de MLOps e ampliar portfólio de parceiros estratégicos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523C4E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Formalizar parcerias com 2 hyperscalers (AWS/Azure/GCP); criar catálogo de serviços de IA disponíveis via parceiros</w:t>
            </w:r>
          </w:p>
        </w:tc>
      </w:tr>
      <w:tr w:rsidR="00000000" w14:paraId="0BA61FA8" w14:textId="77777777">
        <w:trPr>
          <w:divId w:val="133282797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A031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91418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C8C967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76123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Converter alta expectativa de crescimento de receita (3.13) e redução de custos (3.88) em metodologia formal de business case para todos os projetos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A511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Implementar template de ROI de IA em todos os projetos ativos; criar dashboard de valor consolidado por portfólio</w:t>
            </w:r>
          </w:p>
        </w:tc>
      </w:tr>
    </w:tbl>
    <w:p w14:paraId="7F19390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4B926A9">
          <v:rect id="_x0000_i1065" alt="" style="width:425.2pt;height:.05pt;mso-width-percent:0;mso-height-percent:0;mso-width-percent:0;mso-height-percent:0" o:hralign="center" o:hrstd="t" o:hr="t" fillcolor="#a0a0a0" stroked="f"/>
        </w:pict>
      </w:r>
    </w:p>
    <w:p w14:paraId="05ACFEC9"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Stack de Vantagem Competitiva</w:t>
      </w:r>
    </w:p>
    <w:p w14:paraId="58B71EA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leitura combinada dos cinco pontos fortes da Empresa Teste Maturidade IA revela algo que os scores isolados não capturam completamente: a empresa possui uma </w:t>
      </w:r>
      <w:r>
        <w:rPr>
          <w:rStyle w:val="Forte"/>
          <w:rFonts w:ascii="Calibri" w:hAnsi="Calibri" w:cs="Calibri"/>
          <w:color w:val="1E293B"/>
          <w:sz w:val="22"/>
          <w:szCs w:val="22"/>
        </w:rPr>
        <w:t>base humana e cultural sólida para transformação acelerada</w:t>
      </w:r>
      <w:r>
        <w:rPr>
          <w:rFonts w:ascii="Calibri" w:hAnsi="Calibri" w:cs="Calibri"/>
          <w:color w:val="1E293B"/>
          <w:sz w:val="22"/>
          <w:szCs w:val="22"/>
        </w:rPr>
        <w:t>, ancorada em ativos que normalmente levam anos para ser construídos e que competidores de mesmo porte frequentemente não têm.</w:t>
      </w:r>
    </w:p>
    <w:p w14:paraId="041F473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primeiro pilar desta vantagem é o binômio </w:t>
      </w:r>
      <w:r>
        <w:rPr>
          <w:rStyle w:val="Forte"/>
          <w:rFonts w:ascii="Calibri" w:hAnsi="Calibri" w:cs="Calibri"/>
          <w:color w:val="1E293B"/>
          <w:sz w:val="22"/>
          <w:szCs w:val="22"/>
        </w:rPr>
        <w:t>Eficácia percebida × Prontidão para Mudança</w:t>
      </w:r>
      <w:r>
        <w:rPr>
          <w:rFonts w:ascii="Calibri" w:hAnsi="Calibri" w:cs="Calibri"/>
          <w:color w:val="1E293B"/>
          <w:sz w:val="22"/>
          <w:szCs w:val="22"/>
        </w:rPr>
        <w:t>. Com colaboradores motivados (3.50 em desejo de participar da transformação), liderança intermediária engajada (3.45) e percepção de eficácia operacional da IA já em 3.50, a Empresa Teste Maturidade IA tem o combustível humano necessário para um ciclo de aceleração rápido — o que o MIT CISR descreve como "organizational readiness absorptive capacity", um dos preditores mais fortes de velocidade de subida de nível. Empresas que tentam industrializar IA sem esse suporte cultural levam 18 a 36 meses a mais para atingir o estágio 3.</w:t>
      </w:r>
    </w:p>
    <w:p w14:paraId="3EFB76A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segundo pilar é o </w:t>
      </w:r>
      <w:r>
        <w:rPr>
          <w:rStyle w:val="Forte"/>
          <w:rFonts w:ascii="Calibri" w:hAnsi="Calibri" w:cs="Calibri"/>
          <w:color w:val="1E293B"/>
          <w:sz w:val="22"/>
          <w:szCs w:val="22"/>
        </w:rPr>
        <w:t>Ecossistema de Parcerias como alavanca de velocidade</w:t>
      </w:r>
      <w:r>
        <w:rPr>
          <w:rFonts w:ascii="Calibri" w:hAnsi="Calibri" w:cs="Calibri"/>
          <w:color w:val="1E293B"/>
          <w:sz w:val="22"/>
          <w:szCs w:val="22"/>
        </w:rPr>
        <w:t xml:space="preserve">. A adoção consolidada de cloud pública (3.25) posiciona a Empresa Teste Maturidade IA para ativar componentes do </w:t>
      </w:r>
      <w:r>
        <w:rPr>
          <w:rStyle w:val="Forte"/>
          <w:rFonts w:ascii="Calibri" w:hAnsi="Calibri" w:cs="Calibri"/>
          <w:color w:val="1E293B"/>
          <w:sz w:val="22"/>
          <w:szCs w:val="22"/>
        </w:rPr>
        <w:t>Playbook Atlas</w:t>
      </w:r>
      <w:r>
        <w:rPr>
          <w:rFonts w:ascii="Calibri" w:hAnsi="Calibri" w:cs="Calibri"/>
          <w:color w:val="1E293B"/>
          <w:sz w:val="22"/>
          <w:szCs w:val="22"/>
        </w:rPr>
        <w:t xml:space="preserve"> — incluindo blueprints de MLOps em cloud-native, engines de feature store gerenciados e APIs de modelos fundacionais — sem necessidade de construção do zero. Essa capacidade de "borrow" tecnológico via parceiros compensa temporariamente as fragilidades de Plataforma (2.14) e Dados (2.16), permitindo que pilotos de valor cheguem à produção enquanto a infraestrutura própria é amadurecida.</w:t>
      </w:r>
    </w:p>
    <w:p w14:paraId="50029EB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terceiro pilar é a </w:t>
      </w:r>
      <w:r>
        <w:rPr>
          <w:rStyle w:val="Forte"/>
          <w:rFonts w:ascii="Calibri" w:hAnsi="Calibri" w:cs="Calibri"/>
          <w:color w:val="1E293B"/>
          <w:sz w:val="22"/>
          <w:szCs w:val="22"/>
        </w:rPr>
        <w:t>consciência de valor financeiro</w:t>
      </w:r>
      <w:r>
        <w:rPr>
          <w:rFonts w:ascii="Calibri" w:hAnsi="Calibri" w:cs="Calibri"/>
          <w:color w:val="1E293B"/>
          <w:sz w:val="22"/>
          <w:szCs w:val="22"/>
        </w:rPr>
        <w:t>. O score de 3.88 em expectativa de redução de custos com IA indica que há clareza interna sobre onde a IA pode impactar o P&amp;L — e isso é matéria-prima para construir o business case que justifica investimentos maiores. Combinado com a cultura de experimentação (3.00), esse ativo cria a condição para um ciclo virtuoso: experimentos rápidos → medição de valor → business case → orçamento incremental → escala. Exatamente a trajetória que separa empresas no estágio 2 das que chegam ao estágio 3 em 12 a 18 meses, com potencial de migrar o retorno sobre investimento em IA da faixa atual de 50–150% (Nível 2) para 150–300% (Nível 3), representando um salto de R$ 3M para até R$ 12M de retorno anual sobre o mesmo referencial de investimento em capacidades de IA — desde que os gaps críticos de Conformidade, Governança e Operações sejam endereçados em paralelo.</w:t>
      </w:r>
    </w:p>
    <w:p w14:paraId="0F8F63A4"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6. ROADMAP DE TRANSFORMAÇÃO (12 MESES)</w:t>
      </w:r>
    </w:p>
    <w:p w14:paraId="0AEE54E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roadmap a seguir é calibrado para a Empresa Teste Maturidade IA (score 2.31, Nível 2 — Oportunista/Preparando) e estrutura a jornada rumo ao Nível 3 (Develop AI Ways of Working) do MIT CISR Enterprise AI Maturity Model ao longo de quatro fases progressivas. Cada fase endereça os gaps críticos identificados no assessment, priorizando as dimensões de menor score (Conformidade Regulatória 1.58, Operações e Processos 1.98, Governança e Risco 2.02) sem abandonar os pilares relativamente mais fortes (Prontidão para Mudança 2.80, Eficácia de IA 2.84).</w:t>
      </w:r>
    </w:p>
    <w:p w14:paraId="743C294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5B39612">
          <v:rect id="_x0000_i1064" alt="" style="width:425.2pt;height:.05pt;mso-width-percent:0;mso-height-percent:0;mso-width-percent:0;mso-height-percent:0" o:hralign="center" o:hrstd="t" o:hr="t" fillcolor="#a0a0a0" stroked="f"/>
        </w:pict>
      </w:r>
    </w:p>
    <w:p w14:paraId="4309C485"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Fase 1 — Fundação (Meses 1–3)</w:t>
      </w:r>
    </w:p>
    <w:p w14:paraId="68C4EFB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Objetivo estratégico:</w:t>
      </w:r>
      <w:r>
        <w:rPr>
          <w:rFonts w:ascii="Calibri" w:hAnsi="Calibri" w:cs="Calibri"/>
          <w:color w:val="1E293B"/>
          <w:sz w:val="22"/>
          <w:szCs w:val="22"/>
        </w:rPr>
        <w:t xml:space="preserve"> eliminar os débitos estruturais que travam qualquer escala — ausência de framework de governança, fragilidade regulatória, inexistência de roadmap formal de IA e dispersão de dados. Sem essa base, pilotos não prosperam e investimentos se perdem.</w:t>
      </w:r>
    </w:p>
    <w:p w14:paraId="662D31AB" w14:textId="77777777" w:rsidR="00000000" w:rsidRDefault="00000000">
      <w:pPr>
        <w:pStyle w:val="NormalWeb"/>
        <w:shd w:val="clear" w:color="auto" w:fill="FAF5FF"/>
        <w:spacing w:before="0" w:beforeAutospacing="0" w:after="120" w:afterAutospacing="0"/>
        <w:divId w:val="1004355008"/>
        <w:rPr>
          <w:rFonts w:ascii="Calibri" w:hAnsi="Calibri" w:cs="Calibri"/>
          <w:i/>
          <w:iCs/>
          <w:color w:val="581C87"/>
          <w:sz w:val="22"/>
          <w:szCs w:val="22"/>
        </w:rPr>
      </w:pPr>
      <w:r>
        <w:rPr>
          <w:rStyle w:val="Forte"/>
          <w:rFonts w:ascii="Calibri" w:hAnsi="Calibri" w:cs="Calibri"/>
          <w:i/>
          <w:iCs/>
          <w:color w:val="581C87"/>
          <w:sz w:val="22"/>
          <w:szCs w:val="22"/>
        </w:rPr>
        <w:t>Playbook Atlas:</w:t>
      </w:r>
      <w:r>
        <w:rPr>
          <w:rFonts w:ascii="Calibri" w:hAnsi="Calibri" w:cs="Calibri"/>
          <w:i/>
          <w:iCs/>
          <w:color w:val="581C87"/>
          <w:sz w:val="22"/>
          <w:szCs w:val="22"/>
        </w:rPr>
        <w:t xml:space="preserve"> utilize os blueprints de </w:t>
      </w:r>
      <w:r>
        <w:rPr>
          <w:rStyle w:val="nfase"/>
          <w:rFonts w:ascii="Calibri" w:hAnsi="Calibri" w:cs="Calibri"/>
          <w:color w:val="581C87"/>
          <w:sz w:val="22"/>
          <w:szCs w:val="22"/>
        </w:rPr>
        <w:t>AI Governance Framework Starter</w:t>
      </w:r>
      <w:r>
        <w:rPr>
          <w:rFonts w:ascii="Calibri" w:hAnsi="Calibri" w:cs="Calibri"/>
          <w:i/>
          <w:iCs/>
          <w:color w:val="581C87"/>
          <w:sz w:val="22"/>
          <w:szCs w:val="22"/>
        </w:rPr>
        <w:t xml:space="preserve">, </w:t>
      </w:r>
      <w:r>
        <w:rPr>
          <w:rStyle w:val="nfase"/>
          <w:rFonts w:ascii="Calibri" w:hAnsi="Calibri" w:cs="Calibri"/>
          <w:color w:val="581C87"/>
          <w:sz w:val="22"/>
          <w:szCs w:val="22"/>
        </w:rPr>
        <w:t>Data Catalog Bootstrap</w:t>
      </w:r>
      <w:r>
        <w:rPr>
          <w:rFonts w:ascii="Calibri" w:hAnsi="Calibri" w:cs="Calibri"/>
          <w:i/>
          <w:iCs/>
          <w:color w:val="581C87"/>
          <w:sz w:val="22"/>
          <w:szCs w:val="22"/>
        </w:rPr>
        <w:t xml:space="preserve"> e </w:t>
      </w:r>
      <w:r>
        <w:rPr>
          <w:rStyle w:val="nfase"/>
          <w:rFonts w:ascii="Calibri" w:hAnsi="Calibri" w:cs="Calibri"/>
          <w:color w:val="581C87"/>
          <w:sz w:val="22"/>
          <w:szCs w:val="22"/>
        </w:rPr>
        <w:t>Regulatory Compliance Checklist Engine</w:t>
      </w:r>
      <w:r>
        <w:rPr>
          <w:rFonts w:ascii="Calibri" w:hAnsi="Calibri" w:cs="Calibri"/>
          <w:i/>
          <w:iCs/>
          <w:color w:val="581C87"/>
          <w:sz w:val="22"/>
          <w:szCs w:val="22"/>
        </w:rPr>
        <w:t xml:space="preserve"> disponíveis no Atlas para acelerar entregáveis desta fase em até 40%.</w:t>
      </w:r>
    </w:p>
    <w:tbl>
      <w:tblPr>
        <w:tblW w:w="5000" w:type="pct"/>
        <w:tblCellMar>
          <w:top w:w="15" w:type="dxa"/>
          <w:left w:w="15" w:type="dxa"/>
          <w:bottom w:w="15" w:type="dxa"/>
          <w:right w:w="15" w:type="dxa"/>
        </w:tblCellMar>
        <w:tblLook w:val="04A0" w:firstRow="1" w:lastRow="0" w:firstColumn="1" w:lastColumn="0" w:noHBand="0" w:noVBand="1"/>
      </w:tblPr>
      <w:tblGrid>
        <w:gridCol w:w="1887"/>
        <w:gridCol w:w="2358"/>
        <w:gridCol w:w="2195"/>
        <w:gridCol w:w="2048"/>
      </w:tblGrid>
      <w:tr w:rsidR="00000000" w14:paraId="05438E84" w14:textId="77777777">
        <w:trPr>
          <w:divId w:val="10644728"/>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ED7666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Ação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88166B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Responsável (RACI)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74E9C1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Entregáveis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DC7639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 de Saída</w:t>
            </w:r>
          </w:p>
        </w:tc>
      </w:tr>
      <w:tr w:rsidR="00000000" w14:paraId="7F0B8276" w14:textId="77777777">
        <w:trPr>
          <w:divId w:val="1064472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BF137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1.1 — Nomear AI Lead / CAIO e constituir AI Steering Committee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5A172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CEO · A: CIO · C: CFO, BU Leaders · I: Todos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369D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Portaria interna de nomeação; charter do Comitê com cadência mensal; mapa de stakeholders aprovado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3CF8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Comitê instalado e primeira reunião realizada até M3; 100% dos BU Leaders representados</w:t>
            </w:r>
          </w:p>
        </w:tc>
      </w:tr>
      <w:tr w:rsidR="00000000" w14:paraId="66BE7250" w14:textId="77777777">
        <w:trPr>
          <w:divId w:val="1064472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98EE5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1.2 — Elaborar e aprovar Roadmap de IA 1–3 anos com orçamento dedicado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0FB60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CDO/AI Lead · A: CEO, CFO · C: CIO, BU Leaders · I: Conselho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6A7AA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Documento de Roadmap estratégico (OKRs por ano); budget baseline aprovado (ref. R$ 3 MM/ano); plano de comunicação executiva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93D10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Roadmap aprovado no Comitê até M3; orçamento formal alocado (linha de custo criada no ERP)</w:t>
            </w:r>
          </w:p>
        </w:tc>
      </w:tr>
      <w:tr w:rsidR="00000000" w14:paraId="62F74E76" w14:textId="77777777">
        <w:trPr>
          <w:divId w:val="1064472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3465B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1.3 — Implementar framework de Governança e Risco de IA (NIST AI RMF + LGPD)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C2E101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 · A: CIO · C: Jurídico/Compliance, BU Leaders · I: CEO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E2C259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Framework documentado (políticas, processos, papéis); inventário de modelos em produção; matriz de risco inicial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A9CBA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Framework publicado até M3; 100% dos modelos ativos inventariados; primeiro ciclo de avaliação de risco concluído</w:t>
            </w:r>
          </w:p>
        </w:tc>
      </w:tr>
      <w:tr w:rsidR="00000000" w14:paraId="61EC3AC4" w14:textId="77777777">
        <w:trPr>
          <w:divId w:val="1064472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8A01E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1.4 — Conduzir diagnóstico regulatório completo e criar plano de conformidade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D789AA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Jurídico/Compliance · A: CDO · C: CIO, BU Leaders · I: CEO, CFO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6D172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Mapeamento de todas as regulações aplicáveis (LGPD, EU AI Act preparatório, setoriais); gap analysis documentado; plano de remediação priorizado por risco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263C8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das regulações mapeadas; plano de remediação aprovado até M3; score-alvo Conformidade Regulatória ≥ 2.5 em M6</w:t>
            </w:r>
          </w:p>
        </w:tc>
      </w:tr>
      <w:tr w:rsidR="00000000" w14:paraId="38D0B2A7" w14:textId="77777777">
        <w:trPr>
          <w:divId w:val="1064472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974E7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1.5 — Estabelecer Data Catalog centralizado e baseline de qualidade de dados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AAF0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CIO/Dados · A: CDO · C: BU Leaders · I: CFO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1E19E7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Catálogo de dados v1.0 com ≥ 80% dos domínios críticos mapeados; scorecard de qualidade (completude, acurácia) por domínio; ownership de dados definido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789B4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Catálogo publicado até M3; score médio de qualidade de dados ≥ 3.0/5.0 nos domínios prioritários</w:t>
            </w:r>
          </w:p>
        </w:tc>
      </w:tr>
    </w:tbl>
    <w:p w14:paraId="396287E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D84AF08">
          <v:rect id="_x0000_i1063" alt="" style="width:425.2pt;height:.05pt;mso-width-percent:0;mso-height-percent:0;mso-width-percent:0;mso-height-percent:0" o:hralign="center" o:hrstd="t" o:hr="t" fillcolor="#a0a0a0" stroked="f"/>
        </w:pict>
      </w:r>
    </w:p>
    <w:p w14:paraId="1403D36E"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Fase 2 — Pilotos (Meses 4–6)</w:t>
      </w:r>
    </w:p>
    <w:p w14:paraId="71D2CCC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Objetivo estratégico:</w:t>
      </w:r>
      <w:r>
        <w:rPr>
          <w:rFonts w:ascii="Calibri" w:hAnsi="Calibri" w:cs="Calibri"/>
          <w:color w:val="1E293B"/>
          <w:sz w:val="22"/>
          <w:szCs w:val="22"/>
        </w:rPr>
        <w:t xml:space="preserve"> converter a fundação em valor tangível via pilotos de alto impacto e visibilidade, demonstrando ROI mensurável para o C-Level e criando evidências que justifiquem escala. Para uma empresa de tecnologia no porte da Empresa Teste Maturidade IA, os pilotos naturais são </w:t>
      </w:r>
      <w:r>
        <w:rPr>
          <w:rStyle w:val="nfase"/>
          <w:rFonts w:ascii="Calibri" w:hAnsi="Calibri" w:cs="Calibri"/>
          <w:color w:val="1E293B"/>
          <w:sz w:val="22"/>
          <w:szCs w:val="22"/>
        </w:rPr>
        <w:t>developer productivity</w:t>
      </w:r>
      <w:r>
        <w:rPr>
          <w:rFonts w:ascii="Calibri" w:hAnsi="Calibri" w:cs="Calibri"/>
          <w:color w:val="1E293B"/>
          <w:sz w:val="22"/>
          <w:szCs w:val="22"/>
        </w:rPr>
        <w:t xml:space="preserve"> (code generation, code review automatizado) e </w:t>
      </w:r>
      <w:r>
        <w:rPr>
          <w:rStyle w:val="nfase"/>
          <w:rFonts w:ascii="Calibri" w:hAnsi="Calibri" w:cs="Calibri"/>
          <w:color w:val="1E293B"/>
          <w:sz w:val="22"/>
          <w:szCs w:val="22"/>
        </w:rPr>
        <w:t>observability/AIOps</w:t>
      </w:r>
      <w:r>
        <w:rPr>
          <w:rFonts w:ascii="Calibri" w:hAnsi="Calibri" w:cs="Calibri"/>
          <w:color w:val="1E293B"/>
          <w:sz w:val="22"/>
          <w:szCs w:val="22"/>
        </w:rPr>
        <w:t xml:space="preserve"> — com retorno rápido e baixo risco regulatório.</w:t>
      </w:r>
    </w:p>
    <w:p w14:paraId="3F06890B" w14:textId="77777777" w:rsidR="00000000" w:rsidRDefault="00000000">
      <w:pPr>
        <w:pStyle w:val="NormalWeb"/>
        <w:shd w:val="clear" w:color="auto" w:fill="FAF5FF"/>
        <w:spacing w:before="0" w:beforeAutospacing="0" w:after="120" w:afterAutospacing="0"/>
        <w:divId w:val="368383692"/>
        <w:rPr>
          <w:rFonts w:ascii="Calibri" w:hAnsi="Calibri" w:cs="Calibri"/>
          <w:i/>
          <w:iCs/>
          <w:color w:val="581C87"/>
          <w:sz w:val="22"/>
          <w:szCs w:val="22"/>
        </w:rPr>
      </w:pPr>
      <w:r>
        <w:rPr>
          <w:rStyle w:val="Forte"/>
          <w:rFonts w:ascii="Calibri" w:hAnsi="Calibri" w:cs="Calibri"/>
          <w:i/>
          <w:iCs/>
          <w:color w:val="581C87"/>
          <w:sz w:val="22"/>
          <w:szCs w:val="22"/>
        </w:rPr>
        <w:t>Playbook Atlas:</w:t>
      </w:r>
      <w:r>
        <w:rPr>
          <w:rFonts w:ascii="Calibri" w:hAnsi="Calibri" w:cs="Calibri"/>
          <w:i/>
          <w:iCs/>
          <w:color w:val="581C87"/>
          <w:sz w:val="22"/>
          <w:szCs w:val="22"/>
        </w:rPr>
        <w:t xml:space="preserve"> acione os componentes </w:t>
      </w:r>
      <w:r>
        <w:rPr>
          <w:rStyle w:val="nfase"/>
          <w:rFonts w:ascii="Calibri" w:hAnsi="Calibri" w:cs="Calibri"/>
          <w:color w:val="581C87"/>
          <w:sz w:val="22"/>
          <w:szCs w:val="22"/>
        </w:rPr>
        <w:t>AI Pilot Accelerator Kit</w:t>
      </w:r>
      <w:r>
        <w:rPr>
          <w:rFonts w:ascii="Calibri" w:hAnsi="Calibri" w:cs="Calibri"/>
          <w:i/>
          <w:iCs/>
          <w:color w:val="581C87"/>
          <w:sz w:val="22"/>
          <w:szCs w:val="22"/>
        </w:rPr>
        <w:t xml:space="preserve">, </w:t>
      </w:r>
      <w:r>
        <w:rPr>
          <w:rStyle w:val="nfase"/>
          <w:rFonts w:ascii="Calibri" w:hAnsi="Calibri" w:cs="Calibri"/>
          <w:color w:val="581C87"/>
          <w:sz w:val="22"/>
          <w:szCs w:val="22"/>
        </w:rPr>
        <w:t>MLOps Pipeline Blueprint (CI/CD para modelos)</w:t>
      </w:r>
      <w:r>
        <w:rPr>
          <w:rFonts w:ascii="Calibri" w:hAnsi="Calibri" w:cs="Calibri"/>
          <w:i/>
          <w:iCs/>
          <w:color w:val="581C87"/>
          <w:sz w:val="22"/>
          <w:szCs w:val="22"/>
        </w:rPr>
        <w:t xml:space="preserve">, </w:t>
      </w:r>
      <w:r>
        <w:rPr>
          <w:rStyle w:val="nfase"/>
          <w:rFonts w:ascii="Calibri" w:hAnsi="Calibri" w:cs="Calibri"/>
          <w:color w:val="581C87"/>
          <w:sz w:val="22"/>
          <w:szCs w:val="22"/>
        </w:rPr>
        <w:t>Developer Productivity Agent</w:t>
      </w:r>
      <w:r>
        <w:rPr>
          <w:rFonts w:ascii="Calibri" w:hAnsi="Calibri" w:cs="Calibri"/>
          <w:i/>
          <w:iCs/>
          <w:color w:val="581C87"/>
          <w:sz w:val="22"/>
          <w:szCs w:val="22"/>
        </w:rPr>
        <w:t xml:space="preserve"> e </w:t>
      </w:r>
      <w:r>
        <w:rPr>
          <w:rStyle w:val="nfase"/>
          <w:rFonts w:ascii="Calibri" w:hAnsi="Calibri" w:cs="Calibri"/>
          <w:color w:val="581C87"/>
          <w:sz w:val="22"/>
          <w:szCs w:val="22"/>
        </w:rPr>
        <w:t>AI Value Measurement Dashboard</w:t>
      </w:r>
      <w:r>
        <w:rPr>
          <w:rFonts w:ascii="Calibri" w:hAnsi="Calibri" w:cs="Calibri"/>
          <w:i/>
          <w:iCs/>
          <w:color w:val="581C87"/>
          <w:sz w:val="22"/>
          <w:szCs w:val="22"/>
        </w:rPr>
        <w:t xml:space="preserve"> para reduzir o time-to-pilot de 12 para 4–6 semanas.</w:t>
      </w:r>
    </w:p>
    <w:tbl>
      <w:tblPr>
        <w:tblW w:w="5000" w:type="pct"/>
        <w:tblCellMar>
          <w:top w:w="15" w:type="dxa"/>
          <w:left w:w="15" w:type="dxa"/>
          <w:bottom w:w="15" w:type="dxa"/>
          <w:right w:w="15" w:type="dxa"/>
        </w:tblCellMar>
        <w:tblLook w:val="04A0" w:firstRow="1" w:lastRow="0" w:firstColumn="1" w:lastColumn="0" w:noHBand="0" w:noVBand="1"/>
      </w:tblPr>
      <w:tblGrid>
        <w:gridCol w:w="2035"/>
        <w:gridCol w:w="1925"/>
        <w:gridCol w:w="2288"/>
        <w:gridCol w:w="2240"/>
      </w:tblGrid>
      <w:tr w:rsidR="00000000" w14:paraId="4100FCA1" w14:textId="77777777">
        <w:trPr>
          <w:divId w:val="567111786"/>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8C43EF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Ação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BB16181"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Responsável (RACI)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EF6536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Entregáveis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AEB53F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 de Saída</w:t>
            </w:r>
          </w:p>
        </w:tc>
      </w:tr>
      <w:tr w:rsidR="00000000" w14:paraId="7D8CB415" w14:textId="77777777">
        <w:trPr>
          <w:divId w:val="56711178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E8746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2.1 — Lançar piloto de Developer Productivity com IA Generativa (code generation + review)</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9C7151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CIO/Engenharia · A: CDO · C: BU Leaders Tech · I: CEO, CFO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812CF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Ambiente sandbox configurado; ferramenta de code generation integrada ao pipeline CI/CD; métricas de produtividade baseline capturadas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A69AC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15% de redução no tempo médio de codificação em M6; NPS interno ≥ 40 entre desenvolvedores participantes</w:t>
            </w:r>
          </w:p>
        </w:tc>
      </w:tr>
      <w:tr w:rsidR="00000000" w14:paraId="5A1E3645" w14:textId="77777777">
        <w:trPr>
          <w:divId w:val="56711178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9E58A2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2.2 — Implementar piloto de AIOps / Observability inteligente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5F101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CIO/Operações · A: CDO · C: BU Leaders · I: CFO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D78D8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de observability com modelos de anomaly detection em produção em ≥ 2 ambientes críticos; runbooks automatizados para top-5 incidentes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5DFF7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MTTR (Mean Time to Resolve) reduzido ≥ 20% vs. baseline M3; ≥ 30% de alertas com root-cause automático até M6</w:t>
            </w:r>
          </w:p>
        </w:tc>
      </w:tr>
      <w:tr w:rsidR="00000000" w14:paraId="7DBC3160" w14:textId="77777777">
        <w:trPr>
          <w:divId w:val="56711178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14DE3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2.3 — Implantar MLOps básico: versionamento de modelos e CI/CD para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9CD1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CIO/Plataforma · A: CDO · C: Engenharia · I: CFO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20AA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Repositório centralizado de modelos (MLflow ou equivalente Atlas); pipeline CI/CD para modelos com gates de qualidade; SLAs documentados para ≥ 3 modelos críticos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6426F7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modelos em produção versionados; tempo de deploy de modelo reduzido para ≤ 5 dias úteis até M6</w:t>
            </w:r>
          </w:p>
        </w:tc>
      </w:tr>
      <w:tr w:rsidR="00000000" w14:paraId="64400CF0" w14:textId="77777777">
        <w:trPr>
          <w:divId w:val="56711178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7BF32B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2.4 — Executar programa de capacitação em IA para equipes técnicas e de negócio (Wave 1)</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08DC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CDO/RH · A: BU Leaders · C: CIO · I: CEO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7FC8AC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Trilha de aprendizado em IA lançada (técnica + negócio); ≥ 50 colaboradores capacitados em Wave 1; assessment de competências pre/post</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63C31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50 colaboradores certificados até M6; score Talentos e Capacidades ≥ 2.5 em M6</w:t>
            </w:r>
          </w:p>
        </w:tc>
      </w:tr>
      <w:tr w:rsidR="00000000" w14:paraId="65EDA314" w14:textId="77777777">
        <w:trPr>
          <w:divId w:val="56711178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3D4D4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2.5 — Definir e publicar métricas de ROI para projetos de IA (AI Value Framework)</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C93F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CFO · A: CDO · C: BU Leaders, CIO · I: CEO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D99EF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Metodologia de medição de ROI documentada e aprovada; dashboard de valor de IA v1.0 com dados dos pilotos; business cases padronizados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804B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pilotos ativos com ROI calculado e publicado; score Valor de Negócio e ROI ≥ 3.0 em M9</w:t>
            </w:r>
          </w:p>
        </w:tc>
      </w:tr>
    </w:tbl>
    <w:p w14:paraId="68962A4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1162C50">
          <v:rect id="_x0000_i1062" alt="" style="width:425.2pt;height:.05pt;mso-width-percent:0;mso-height-percent:0;mso-width-percent:0;mso-height-percent:0" o:hralign="center" o:hrstd="t" o:hr="t" fillcolor="#a0a0a0" stroked="f"/>
        </w:pict>
      </w:r>
    </w:p>
    <w:p w14:paraId="63DFE058"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Fase 3 — Escala (Meses 7–9)</w:t>
      </w:r>
    </w:p>
    <w:p w14:paraId="1EAE7CE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Objetivo estratégico:</w:t>
      </w:r>
      <w:r>
        <w:rPr>
          <w:rFonts w:ascii="Calibri" w:hAnsi="Calibri" w:cs="Calibri"/>
          <w:color w:val="1E293B"/>
          <w:sz w:val="22"/>
          <w:szCs w:val="22"/>
        </w:rPr>
        <w:t xml:space="preserve"> transformar pilotos validados em soluções industrializadas, expandir capacidades para múltiplas unidades de negócio e consolidar a plataforma de IA como infraestrutura corporativa. É nesta fase que a Empresa Teste Maturidade IA começa a capturar o diferencial competitivo de empresa de tecnologia: monetização de capacidades de IA para clientes.</w:t>
      </w:r>
    </w:p>
    <w:p w14:paraId="26FAFAE5" w14:textId="77777777" w:rsidR="00000000" w:rsidRDefault="00000000">
      <w:pPr>
        <w:pStyle w:val="NormalWeb"/>
        <w:shd w:val="clear" w:color="auto" w:fill="FAF5FF"/>
        <w:spacing w:before="0" w:beforeAutospacing="0" w:after="120" w:afterAutospacing="0"/>
        <w:divId w:val="1094084054"/>
        <w:rPr>
          <w:rFonts w:ascii="Calibri" w:hAnsi="Calibri" w:cs="Calibri"/>
          <w:i/>
          <w:iCs/>
          <w:color w:val="581C87"/>
          <w:sz w:val="22"/>
          <w:szCs w:val="22"/>
        </w:rPr>
      </w:pPr>
      <w:r>
        <w:rPr>
          <w:rStyle w:val="Forte"/>
          <w:rFonts w:ascii="Calibri" w:hAnsi="Calibri" w:cs="Calibri"/>
          <w:i/>
          <w:iCs/>
          <w:color w:val="581C87"/>
          <w:sz w:val="22"/>
          <w:szCs w:val="22"/>
        </w:rPr>
        <w:t>Playbook Atlas:</w:t>
      </w:r>
      <w:r>
        <w:rPr>
          <w:rFonts w:ascii="Calibri" w:hAnsi="Calibri" w:cs="Calibri"/>
          <w:i/>
          <w:iCs/>
          <w:color w:val="581C87"/>
          <w:sz w:val="22"/>
          <w:szCs w:val="22"/>
        </w:rPr>
        <w:t xml:space="preserve"> ative os módulos </w:t>
      </w:r>
      <w:r>
        <w:rPr>
          <w:rStyle w:val="nfase"/>
          <w:rFonts w:ascii="Calibri" w:hAnsi="Calibri" w:cs="Calibri"/>
          <w:color w:val="581C87"/>
          <w:sz w:val="22"/>
          <w:szCs w:val="22"/>
        </w:rPr>
        <w:t>AI Platform Core (Feature Store + Model Registry + Serving Layer)</w:t>
      </w:r>
      <w:r>
        <w:rPr>
          <w:rFonts w:ascii="Calibri" w:hAnsi="Calibri" w:cs="Calibri"/>
          <w:i/>
          <w:iCs/>
          <w:color w:val="581C87"/>
          <w:sz w:val="22"/>
          <w:szCs w:val="22"/>
        </w:rPr>
        <w:t xml:space="preserve">, </w:t>
      </w:r>
      <w:r>
        <w:rPr>
          <w:rStyle w:val="nfase"/>
          <w:rFonts w:ascii="Calibri" w:hAnsi="Calibri" w:cs="Calibri"/>
          <w:color w:val="581C87"/>
          <w:sz w:val="22"/>
          <w:szCs w:val="22"/>
        </w:rPr>
        <w:t>AI Champions Network Blueprint</w:t>
      </w:r>
      <w:r>
        <w:rPr>
          <w:rFonts w:ascii="Calibri" w:hAnsi="Calibri" w:cs="Calibri"/>
          <w:i/>
          <w:iCs/>
          <w:color w:val="581C87"/>
          <w:sz w:val="22"/>
          <w:szCs w:val="22"/>
        </w:rPr>
        <w:t xml:space="preserve">, </w:t>
      </w:r>
      <w:r>
        <w:rPr>
          <w:rStyle w:val="nfase"/>
          <w:rFonts w:ascii="Calibri" w:hAnsi="Calibri" w:cs="Calibri"/>
          <w:color w:val="581C87"/>
          <w:sz w:val="22"/>
          <w:szCs w:val="22"/>
        </w:rPr>
        <w:t>Multi-BU Value Mapping Engine</w:t>
      </w:r>
      <w:r>
        <w:rPr>
          <w:rFonts w:ascii="Calibri" w:hAnsi="Calibri" w:cs="Calibri"/>
          <w:i/>
          <w:iCs/>
          <w:color w:val="581C87"/>
          <w:sz w:val="22"/>
          <w:szCs w:val="22"/>
        </w:rPr>
        <w:t xml:space="preserve"> e </w:t>
      </w:r>
      <w:r>
        <w:rPr>
          <w:rStyle w:val="nfase"/>
          <w:rFonts w:ascii="Calibri" w:hAnsi="Calibri" w:cs="Calibri"/>
          <w:color w:val="581C87"/>
          <w:sz w:val="22"/>
          <w:szCs w:val="22"/>
        </w:rPr>
        <w:t>AIaaS Productization Framework</w:t>
      </w:r>
      <w:r>
        <w:rPr>
          <w:rFonts w:ascii="Calibri" w:hAnsi="Calibri" w:cs="Calibri"/>
          <w:i/>
          <w:iCs/>
          <w:color w:val="581C87"/>
          <w:sz w:val="22"/>
          <w:szCs w:val="22"/>
        </w:rPr>
        <w:t xml:space="preserve"> para sustentar a escala sem retrabalho arquitetural.</w:t>
      </w:r>
    </w:p>
    <w:tbl>
      <w:tblPr>
        <w:tblW w:w="5000" w:type="pct"/>
        <w:tblCellMar>
          <w:top w:w="15" w:type="dxa"/>
          <w:left w:w="15" w:type="dxa"/>
          <w:bottom w:w="15" w:type="dxa"/>
          <w:right w:w="15" w:type="dxa"/>
        </w:tblCellMar>
        <w:tblLook w:val="04A0" w:firstRow="1" w:lastRow="0" w:firstColumn="1" w:lastColumn="0" w:noHBand="0" w:noVBand="1"/>
      </w:tblPr>
      <w:tblGrid>
        <w:gridCol w:w="1957"/>
        <w:gridCol w:w="1847"/>
        <w:gridCol w:w="2456"/>
        <w:gridCol w:w="2228"/>
      </w:tblGrid>
      <w:tr w:rsidR="00000000" w14:paraId="6709F4EB" w14:textId="77777777">
        <w:trPr>
          <w:divId w:val="1118913999"/>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577ED8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Ação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4DFE85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Responsável (RACI)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CE180C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Entregáveis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21692C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 de Saída</w:t>
            </w:r>
          </w:p>
        </w:tc>
      </w:tr>
      <w:tr w:rsidR="00000000" w14:paraId="55994551" w14:textId="77777777">
        <w:trPr>
          <w:divId w:val="111891399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405DBB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3.1 — Escalar plataforma centralizada de IA (Feature Store, Model Registry, Serving)</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CB27D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CIO/Plataforma · A: CDO · C: Engenharia, BU Leaders · I: CFO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C34E1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de IA v1.0 em produção com ≥ 5 modelos servidos; SLA de 99.5% de disponibilidade; documentação de onboarding para novos times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296FD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5 modelos em produção na plataforma; tempo médio de onboarding de novo caso de uso ≤ 3 semanas; score Plataforma e Industrialização ≥ 2.8 em M9</w:t>
            </w:r>
          </w:p>
        </w:tc>
      </w:tr>
      <w:tr w:rsidR="00000000" w14:paraId="3AB72C8F" w14:textId="77777777">
        <w:trPr>
          <w:divId w:val="111891399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4051FC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3.2 — Mapear e priorizar casos de uso de IA em todas as unidades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A1BA1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 · A: BU Leaders · C: CFO, CIO · I: CEO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E6DBEA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Value map de IA por BU (Serviços, Produtos, Operações, Comercial); business cases ranqueados por ROI/viabilidade; KPIs específicos por unidade definidos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38F2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das BUs com ≥ 1 caso de uso mapeado e priorizado; ≥ 3 novos casos de uso aprovados para desenvolvimento em M9</w:t>
            </w:r>
          </w:p>
        </w:tc>
      </w:tr>
      <w:tr w:rsidR="00000000" w14:paraId="0467C161" w14:textId="77777777">
        <w:trPr>
          <w:divId w:val="111891399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35421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3.3 — Lançar programa de AI Champions e rede de inovação interna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63468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CDO/RH · A: CEO · C: BU Leaders · I: 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87DD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Champions nomeados em cada BU (≥ 1 por área); comunidade de prática de IA estruturada; programa de ideação/hackathon interno realizado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41265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10 AI Champions ativos até M9; ≥ 5 ideias de casos de uso geradas internamente em M9; score Prontidão para Mudança mantido ≥ 3.0</w:t>
            </w:r>
          </w:p>
        </w:tc>
      </w:tr>
      <w:tr w:rsidR="00000000" w14:paraId="4236934F" w14:textId="77777777">
        <w:trPr>
          <w:divId w:val="1118913999"/>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B72527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3.4 — Implementar monitoramento contínuo de modelos e SLAs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D1BF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CIO/Operações · A: CDO · C: BU Leaders, Compliance · I: CFO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B3F92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Dashboard de monitoramento em tempo real (drift, acurácia, latência, SLA); processo de retraining automatizado para ≥ 3 modelos críticos; relatório mensal de performance para o Comitê</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B6A908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100% dos modelos críticos com monitoramento ativo; ≤ 2 incidentes de degradação sem detecção prévia por trimestre; score Operações e Processos ≥ 2.5 em M9</w:t>
            </w:r>
          </w:p>
        </w:tc>
      </w:tr>
      <w:tr w:rsidR="00000000" w14:paraId="470D50EB" w14:textId="77777777">
        <w:trPr>
          <w:divId w:val="1118913999"/>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BE0D7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3.5 — Estruturar oferta inicial de IA as a Service (AIaaS) para clientes externos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18AC2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CDO/Comercial · A: CEO · C: Jurídico, CFO, CIO · I: BU Leaders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907CE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Catálogo de capacidades de IA monetizáveis definido; proposta de valor documentada; ≥ 2 projetos-piloto com clientes externos iniciados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13862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 contratos-piloto de AIaaS fechados até M9; receita incremental de IA ≥ R$ 500 K em pipeline qualificado</w:t>
            </w:r>
          </w:p>
        </w:tc>
      </w:tr>
    </w:tbl>
    <w:p w14:paraId="64E6124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539CA01">
          <v:rect id="_x0000_i1061" alt="" style="width:425.2pt;height:.05pt;mso-width-percent:0;mso-height-percent:0;mso-width-percent:0;mso-height-percent:0" o:hralign="center" o:hrstd="t" o:hr="t" fillcolor="#a0a0a0" stroked="f"/>
        </w:pict>
      </w:r>
    </w:p>
    <w:p w14:paraId="6958E006"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Fase 4 — Industrialização &amp; Inovação (Meses 10–12)</w:t>
      </w:r>
    </w:p>
    <w:p w14:paraId="11972E0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Objetivo estratégico:</w:t>
      </w:r>
      <w:r>
        <w:rPr>
          <w:rFonts w:ascii="Calibri" w:hAnsi="Calibri" w:cs="Calibri"/>
          <w:color w:val="1E293B"/>
          <w:sz w:val="22"/>
          <w:szCs w:val="22"/>
        </w:rPr>
        <w:t xml:space="preserve"> consolidar o Nível 3 MIT CISR (Develop AI Ways of Working), com IA incorporada nos processos decisórios do dia a dia, plataforma operando em escala e primeiros vetores de receita de IA para clientes ativos. Preparar o terreno para a transição ao Nível 4 (Become AI Future Ready) no ciclo seguinte, com foco em IA Agêntica — dimensão onde a Empresa Teste Maturidade IA já demonstra maturidade acima da média (3.13).</w:t>
      </w:r>
    </w:p>
    <w:p w14:paraId="6FCDB94D" w14:textId="77777777" w:rsidR="00000000" w:rsidRDefault="00000000">
      <w:pPr>
        <w:pStyle w:val="NormalWeb"/>
        <w:shd w:val="clear" w:color="auto" w:fill="FAF5FF"/>
        <w:spacing w:before="0" w:beforeAutospacing="0" w:after="120" w:afterAutospacing="0"/>
        <w:divId w:val="896941554"/>
        <w:rPr>
          <w:rFonts w:ascii="Calibri" w:hAnsi="Calibri" w:cs="Calibri"/>
          <w:i/>
          <w:iCs/>
          <w:color w:val="581C87"/>
          <w:sz w:val="22"/>
          <w:szCs w:val="22"/>
        </w:rPr>
      </w:pPr>
      <w:r>
        <w:rPr>
          <w:rStyle w:val="Forte"/>
          <w:rFonts w:ascii="Calibri" w:hAnsi="Calibri" w:cs="Calibri"/>
          <w:i/>
          <w:iCs/>
          <w:color w:val="581C87"/>
          <w:sz w:val="22"/>
          <w:szCs w:val="22"/>
        </w:rPr>
        <w:t>Playbook Atlas:</w:t>
      </w:r>
      <w:r>
        <w:rPr>
          <w:rFonts w:ascii="Calibri" w:hAnsi="Calibri" w:cs="Calibri"/>
          <w:i/>
          <w:iCs/>
          <w:color w:val="581C87"/>
          <w:sz w:val="22"/>
          <w:szCs w:val="22"/>
        </w:rPr>
        <w:t xml:space="preserve"> utilize os aceleradores </w:t>
      </w:r>
      <w:r>
        <w:rPr>
          <w:rStyle w:val="nfase"/>
          <w:rFonts w:ascii="Calibri" w:hAnsi="Calibri" w:cs="Calibri"/>
          <w:color w:val="581C87"/>
          <w:sz w:val="22"/>
          <w:szCs w:val="22"/>
        </w:rPr>
        <w:t>Agentic AI Orchestration Engine</w:t>
      </w:r>
      <w:r>
        <w:rPr>
          <w:rFonts w:ascii="Calibri" w:hAnsi="Calibri" w:cs="Calibri"/>
          <w:i/>
          <w:iCs/>
          <w:color w:val="581C87"/>
          <w:sz w:val="22"/>
          <w:szCs w:val="22"/>
        </w:rPr>
        <w:t xml:space="preserve">, </w:t>
      </w:r>
      <w:r>
        <w:rPr>
          <w:rStyle w:val="nfase"/>
          <w:rFonts w:ascii="Calibri" w:hAnsi="Calibri" w:cs="Calibri"/>
          <w:color w:val="581C87"/>
          <w:sz w:val="22"/>
          <w:szCs w:val="22"/>
        </w:rPr>
        <w:t>FinOps for AI Dashboard</w:t>
      </w:r>
      <w:r>
        <w:rPr>
          <w:rFonts w:ascii="Calibri" w:hAnsi="Calibri" w:cs="Calibri"/>
          <w:i/>
          <w:iCs/>
          <w:color w:val="581C87"/>
          <w:sz w:val="22"/>
          <w:szCs w:val="22"/>
        </w:rPr>
        <w:t xml:space="preserve">, </w:t>
      </w:r>
      <w:r>
        <w:rPr>
          <w:rStyle w:val="nfase"/>
          <w:rFonts w:ascii="Calibri" w:hAnsi="Calibri" w:cs="Calibri"/>
          <w:color w:val="581C87"/>
          <w:sz w:val="22"/>
          <w:szCs w:val="22"/>
        </w:rPr>
        <w:t>AI IP Registry</w:t>
      </w:r>
      <w:r>
        <w:rPr>
          <w:rFonts w:ascii="Calibri" w:hAnsi="Calibri" w:cs="Calibri"/>
          <w:i/>
          <w:iCs/>
          <w:color w:val="581C87"/>
          <w:sz w:val="22"/>
          <w:szCs w:val="22"/>
        </w:rPr>
        <w:t xml:space="preserve">, </w:t>
      </w:r>
      <w:r>
        <w:rPr>
          <w:rStyle w:val="nfase"/>
          <w:rFonts w:ascii="Calibri" w:hAnsi="Calibri" w:cs="Calibri"/>
          <w:color w:val="581C87"/>
          <w:sz w:val="22"/>
          <w:szCs w:val="22"/>
        </w:rPr>
        <w:t>Regulatory Compliance Automation (EU AI Act readiness)</w:t>
      </w:r>
      <w:r>
        <w:rPr>
          <w:rFonts w:ascii="Calibri" w:hAnsi="Calibri" w:cs="Calibri"/>
          <w:i/>
          <w:iCs/>
          <w:color w:val="581C87"/>
          <w:sz w:val="22"/>
          <w:szCs w:val="22"/>
        </w:rPr>
        <w:t xml:space="preserve"> e </w:t>
      </w:r>
      <w:r>
        <w:rPr>
          <w:rStyle w:val="nfase"/>
          <w:rFonts w:ascii="Calibri" w:hAnsi="Calibri" w:cs="Calibri"/>
          <w:color w:val="581C87"/>
          <w:sz w:val="22"/>
          <w:szCs w:val="22"/>
        </w:rPr>
        <w:t>Enterprise AI Governance Audit Pack</w:t>
      </w:r>
      <w:r>
        <w:rPr>
          <w:rFonts w:ascii="Calibri" w:hAnsi="Calibri" w:cs="Calibri"/>
          <w:i/>
          <w:iCs/>
          <w:color w:val="581C87"/>
          <w:sz w:val="22"/>
          <w:szCs w:val="22"/>
        </w:rPr>
        <w:t xml:space="preserve"> para fechar o ciclo com rastreabilidade completa e posicionamento competitivo.</w:t>
      </w:r>
    </w:p>
    <w:tbl>
      <w:tblPr>
        <w:tblW w:w="5000" w:type="pct"/>
        <w:tblCellMar>
          <w:top w:w="15" w:type="dxa"/>
          <w:left w:w="15" w:type="dxa"/>
          <w:bottom w:w="15" w:type="dxa"/>
          <w:right w:w="15" w:type="dxa"/>
        </w:tblCellMar>
        <w:tblLook w:val="04A0" w:firstRow="1" w:lastRow="0" w:firstColumn="1" w:lastColumn="0" w:noHBand="0" w:noVBand="1"/>
      </w:tblPr>
      <w:tblGrid>
        <w:gridCol w:w="1833"/>
        <w:gridCol w:w="2266"/>
        <w:gridCol w:w="2240"/>
        <w:gridCol w:w="2149"/>
      </w:tblGrid>
      <w:tr w:rsidR="00000000" w14:paraId="345A959E" w14:textId="77777777">
        <w:trPr>
          <w:divId w:val="1792241110"/>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24ABB5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Ação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802599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Responsável (RACI)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D34C7C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Entregáveis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CE1252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 de Saída</w:t>
            </w:r>
          </w:p>
        </w:tc>
      </w:tr>
      <w:tr w:rsidR="00000000" w14:paraId="6705A967" w14:textId="77777777">
        <w:trPr>
          <w:divId w:val="179224111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22AA97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4.1 — Lançar capacidades de IA Agêntica em processos internos críticos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B2FB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CIO/CDO · A: CEO · C: BU Leaders · I: CFO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714C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 agentes autônomos em produção (ex.: agente de suporte interno, agente de análise de contratos); framework de governança para agentes (limites de autonomia, auditoria)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7E30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 agentes em produção com SLA ativo; ≥ 20% de redução de esforço manual nos processos-alvo; score Maturidade por Tipo de IA ≥ 3.0 em M12</w:t>
            </w:r>
          </w:p>
        </w:tc>
      </w:tr>
      <w:tr w:rsidR="00000000" w14:paraId="1BF27A12" w14:textId="77777777">
        <w:trPr>
          <w:divId w:val="179224111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F40AFF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4.2 — Atingir conformidade regulatória baseline e publicar política de IA responsável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FAC08A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Jurídico/Compliance · A: CDO · C: CIO, CEO · I: CFO, BU Leaders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5D59C2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Política de IA Responsável publicada (transparência, explicabilidade, não-discriminação); conformidade LGPD documentada em 100% dos projetos ativos; plano de readiness para EU AI Act concluído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ED567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Score Conformidade Regulatória ≥ 2.5 em M12 (vs. 1.58 atual); 0 incidentes regulatórios não gerenciados no período; 100% dos modelos críticos com documentação de explicabilidade</w:t>
            </w:r>
          </w:p>
        </w:tc>
      </w:tr>
      <w:tr w:rsidR="00000000" w14:paraId="313FF9D7" w14:textId="77777777">
        <w:trPr>
          <w:divId w:val="179224111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41C2F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4.3 — Implementar FinOps for AI: gestão de custos e ROI em tempo real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E0F03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CFO · A: CDO, CIO · C: BU Leaders · I: CEO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16D600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Dashboard de FinOps para IA integrado à plataforma; alocação de custos por projeto/BU; relatório trimestral de ROI consolidado para o board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0AB1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Custo por modelo em produção rastreado em 100% dos casos; ROI documentado ≥ R$ 3.6 MM (base 1.8% × R$ 200 MM) no ciclo de 12 meses</w:t>
            </w:r>
          </w:p>
        </w:tc>
      </w:tr>
      <w:tr w:rsidR="00000000" w14:paraId="444495EE" w14:textId="77777777">
        <w:trPr>
          <w:divId w:val="179224111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E60690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4.4 — Expandir programa de capacitação Wave 2 e formalizar trilhas de carreira em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AAD7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CDO/RH · A: CEO · C: BU Leaders, CIO · I: CFO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0E209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150 colaboradores capacitados acumulados; plano de carreira para papéis de IA publicado (ML Engineer, MLOps, AI Product Manager, AI Ethics); programa de retenção ativado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04CD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Turnover da equipe de IA ≤ mercado (referência: ≤ 15% a.a.); ≥ 80% dos papéis críticos de IA preenchidos internamente; score Talentos e Capacidades ≥ 2.8 em M12</w:t>
            </w:r>
          </w:p>
        </w:tc>
      </w:tr>
      <w:tr w:rsidR="00000000" w14:paraId="7EC1E412" w14:textId="77777777">
        <w:trPr>
          <w:divId w:val="179224111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638A39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4.5 — Realizar assessment de maturidade versão 2 e planejar roadmap para Nível 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E82F9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CDO · A: CEO · C: Todos os C-Levels · I: Board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77AB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Relatório de evolução de scores (versão 1 vs. versão 2); gap analysis para Nível 4; proposta de investimento para ciclo 13–36 meses (ref. R$ 6 MM/ano para Nível 3→4)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0869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Score geral ≥ 3.0 em M12 (vs. 2.31 atual); ≥ 10 das 16 dimensões acima de 2.8; proposta para Nível 4 aprovada pelo board</w:t>
            </w:r>
          </w:p>
        </w:tc>
      </w:tr>
    </w:tbl>
    <w:p w14:paraId="6F57867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FA53003">
          <v:rect id="_x0000_i1060" alt="" style="width:425.2pt;height:.05pt;mso-width-percent:0;mso-height-percent:0;mso-width-percent:0;mso-height-percent:0" o:hralign="center" o:hrstd="t" o:hr="t" fillcolor="#a0a0a0" stroked="f"/>
        </w:pict>
      </w:r>
    </w:p>
    <w:p w14:paraId="0BCD794B"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Tabela RACI Consolidada — Iniciativas-Chave (12 Meses)</w:t>
      </w:r>
    </w:p>
    <w:tbl>
      <w:tblPr>
        <w:tblW w:w="5000" w:type="pct"/>
        <w:tblCellMar>
          <w:top w:w="15" w:type="dxa"/>
          <w:left w:w="15" w:type="dxa"/>
          <w:bottom w:w="15" w:type="dxa"/>
          <w:right w:w="15" w:type="dxa"/>
        </w:tblCellMar>
        <w:tblLook w:val="04A0" w:firstRow="1" w:lastRow="0" w:firstColumn="1" w:lastColumn="0" w:noHBand="0" w:noVBand="1"/>
      </w:tblPr>
      <w:tblGrid>
        <w:gridCol w:w="3815"/>
        <w:gridCol w:w="756"/>
        <w:gridCol w:w="710"/>
        <w:gridCol w:w="1225"/>
        <w:gridCol w:w="750"/>
        <w:gridCol w:w="1232"/>
      </w:tblGrid>
      <w:tr w:rsidR="00000000" w14:paraId="0C8887C0" w14:textId="77777777">
        <w:trPr>
          <w:divId w:val="1500191652"/>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4B2D66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Iniciativa-Chave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BD9564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CEO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BCF1E6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CIO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3CF56D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CDO / AI Lead</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443AA7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CFO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2EF2C6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BU Leaders</w:t>
            </w:r>
          </w:p>
        </w:tc>
      </w:tr>
      <w:tr w:rsidR="00000000" w14:paraId="0563C13D"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CCC9A0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Nomear AI Lead e constituir Steering Committee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03DF11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3578EA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1092B9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DAE0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EB3B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r>
      <w:tr w:rsidR="00000000" w14:paraId="4D6DFF48"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EF8E69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Aprovar Roadmap e orçamento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DB45B1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169E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DC3C4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A644AC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95446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42C48EBE"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E73B2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Implementar Framework de Governança e Risco (NIST AI RMF)</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D54A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A1335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3C568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9D0F19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D0A7D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71C0B3F2"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9A4F77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Diagnóstico regulatório e plano de conformidade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B6BE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5C0341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99A877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4B631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F24CC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76B3384F"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C4328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Data Catalog centralizado e qualidade de dados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D3BA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95E12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2EBCA9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AC713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24185B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03B962A4"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4841A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 Developer Productivity (IA Generativa)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F768E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07FFF1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96A16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5F7DE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121AB6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015BF96A"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09E75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 AIOps / Observability inteligente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8FD28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0391D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FFD00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DDA43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BF0D6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59DD0F07"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07C0C4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MLOps básico (CI/CD para modelos)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EF15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064C5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AB724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44B20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3ADA7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r>
      <w:tr w:rsidR="00000000" w14:paraId="1F3261FE"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9678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Capacitação Wave 1 e Wave 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787816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47B421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A3AD7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41CB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02D917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r>
      <w:tr w:rsidR="00000000" w14:paraId="0851A5D0"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E605F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Value Framework e dashboard de ROI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580CE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979D7F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25F2D8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630F4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B4DF2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5308A410"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52C5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centralizada de IA (escala)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7A13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389BB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BA300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ED0EB5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E0181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5D694F2A"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D8AC9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Mapeamento de casos de uso por BU</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6B106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616C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2897B1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F443E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8180AF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r>
      <w:tr w:rsidR="00000000" w14:paraId="5367560F"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0EE94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Programa AI Champions e comunidade de prática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174B2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AA66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29BA8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E571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4439B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5A8A934E"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E5D4D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Monitoramento contínuo e SLAs de modelos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C8053D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21D99C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A0467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BD579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1D745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0F43DE2D"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1420C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Estruturação de oferta AIaaS para clientes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DEA2DB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E7863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C13C3B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D4738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4EEF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55A201CF"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9AF12F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Agêntica em processos internos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C76F3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7125A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BE2D8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7E5F7F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C66FA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7DFA3C35"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2C56B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Política de IA Responsável e 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076F4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4453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4FBFF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84D8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67ECF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r w:rsidR="00000000" w14:paraId="47DD9816"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E4A8D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FinOps for AI (custos e ROI em tempo real)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2E86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F3EEC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61D2F2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A5B3D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7F046E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w:t>
            </w:r>
          </w:p>
        </w:tc>
      </w:tr>
      <w:tr w:rsidR="00000000" w14:paraId="20F7F333" w14:textId="77777777">
        <w:trPr>
          <w:divId w:val="150019165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B2061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Assessment versão 2 e roadmap Nível 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439FF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5CEAF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AF324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29270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CA67A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w:t>
            </w:r>
          </w:p>
        </w:tc>
      </w:tr>
    </w:tbl>
    <w:p w14:paraId="6339AA77" w14:textId="77777777" w:rsidR="00000000" w:rsidRDefault="00000000">
      <w:pPr>
        <w:pStyle w:val="NormalWeb"/>
        <w:shd w:val="clear" w:color="auto" w:fill="FAF5FF"/>
        <w:spacing w:before="0" w:beforeAutospacing="0" w:after="120" w:afterAutospacing="0"/>
        <w:divId w:val="1745910574"/>
        <w:rPr>
          <w:rFonts w:ascii="Calibri" w:hAnsi="Calibri" w:cs="Calibri"/>
          <w:i/>
          <w:iCs/>
          <w:color w:val="581C87"/>
          <w:sz w:val="22"/>
          <w:szCs w:val="22"/>
        </w:rPr>
      </w:pPr>
      <w:r>
        <w:rPr>
          <w:rStyle w:val="Forte"/>
          <w:rFonts w:ascii="Calibri" w:hAnsi="Calibri" w:cs="Calibri"/>
          <w:i/>
          <w:iCs/>
          <w:color w:val="581C87"/>
          <w:sz w:val="22"/>
          <w:szCs w:val="22"/>
        </w:rPr>
        <w:t>Legenda RACI:</w:t>
      </w:r>
      <w:r>
        <w:rPr>
          <w:rFonts w:ascii="Calibri" w:hAnsi="Calibri" w:cs="Calibri"/>
          <w:i/>
          <w:iCs/>
          <w:color w:val="581C87"/>
          <w:sz w:val="22"/>
          <w:szCs w:val="22"/>
        </w:rPr>
        <w:t xml:space="preserve"> R = Responsável pela execução · A = Accountable (aprova/responde) · C = Consultado · I = Informado</w:t>
      </w:r>
    </w:p>
    <w:p w14:paraId="364D874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1C05BBE">
          <v:rect id="_x0000_i1059" alt="" style="width:425.2pt;height:.05pt;mso-width-percent:0;mso-height-percent:0;mso-width-percent:0;mso-height-percent:0" o:hralign="center" o:hrstd="t" o:hr="t" fillcolor="#a0a0a0" stroked="f"/>
        </w:pict>
      </w:r>
    </w:p>
    <w:p w14:paraId="574A6AEE"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7. MATRIZ DE DEPENDÊNCIAS E SEQUÊNCIA</w:t>
      </w:r>
    </w:p>
    <w:p w14:paraId="5CF50DA4"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Tabela de Dependências entre Iniciativas</w:t>
      </w:r>
    </w:p>
    <w:tbl>
      <w:tblPr>
        <w:tblW w:w="5000" w:type="pct"/>
        <w:tblCellMar>
          <w:top w:w="15" w:type="dxa"/>
          <w:left w:w="15" w:type="dxa"/>
          <w:bottom w:w="15" w:type="dxa"/>
          <w:right w:w="15" w:type="dxa"/>
        </w:tblCellMar>
        <w:tblLook w:val="04A0" w:firstRow="1" w:lastRow="0" w:firstColumn="1" w:lastColumn="0" w:noHBand="0" w:noVBand="1"/>
      </w:tblPr>
      <w:tblGrid>
        <w:gridCol w:w="1894"/>
        <w:gridCol w:w="2150"/>
        <w:gridCol w:w="2553"/>
        <w:gridCol w:w="1891"/>
      </w:tblGrid>
      <w:tr w:rsidR="00000000" w14:paraId="694EF31E" w14:textId="77777777">
        <w:trPr>
          <w:divId w:val="1491946794"/>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0193CF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Iniciativa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344E19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Depende De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49036F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Bloqueia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B99E0B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Tipo de Dependência</w:t>
            </w:r>
          </w:p>
        </w:tc>
      </w:tr>
      <w:tr w:rsidR="00000000" w14:paraId="5C7E0A05"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D1C4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Roadmap e orçamento de IA (1.2)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7BA7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Nomeação do AI Lead e Steering Committee (1.1)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C9AB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Todas as demais iniciativas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B366D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Estrutural — pré-requisito de autorização</w:t>
            </w:r>
          </w:p>
        </w:tc>
      </w:tr>
      <w:tr w:rsidR="00000000" w14:paraId="0FAD8F23"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5344A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Framework de Governança e Risco (1.3)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77D5E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Roadmap aprovado (1.2)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F930E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Diagnóstico regulatório (1.4); Plataforma de IA (3.1); Política de IA Responsável (4.2)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7A63E3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Estrutural — pré-requisito de controle</w:t>
            </w:r>
          </w:p>
        </w:tc>
      </w:tr>
      <w:tr w:rsidR="00000000" w14:paraId="096E0EC3"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58EC5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Data Catalog e qualidade de dados (1.5)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6E6E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Roadmap aprovado (1.2)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D85F8F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MLOps e CI/CD (2.3); Plataforma centralizada de IA (3.1); Piloto AIOps (2.2)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ACC0D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Técnica — dependência de infraestrutura de dados</w:t>
            </w:r>
          </w:p>
        </w:tc>
      </w:tr>
      <w:tr w:rsidR="00000000" w14:paraId="670736C3"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E38F37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Diagnóstico regulatório (1.4)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9E188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Framework de Governança (1.3)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C46451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Política de IA Responsável (4.2); Piloto AIaaS (3.5)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ED6870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Regulatória — conformidade</w:t>
            </w:r>
          </w:p>
        </w:tc>
      </w:tr>
      <w:tr w:rsidR="00000000" w14:paraId="2C8F6819"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CCD6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 Developer Productivity (2.1)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4E739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Roadmap aprovado (1.2); Data Catalog v1 (1.5)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B49E4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Expansão AI Agêntica (4.1); Benchmark de produtividade para ROI (2.5)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28D56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Técnica — dependência de ambiente e baseline</w:t>
            </w:r>
          </w:p>
        </w:tc>
      </w:tr>
      <w:tr w:rsidR="00000000" w14:paraId="618845B8"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49949D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 AIOps (2.2)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B2B73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Data Catalog (1.5); Roadmap aprovado (1.2)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E2C7BD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Monitoramento contínuo (3.4); Plataforma centralizada (3.1)</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9801C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Técnica — dependência de dados e observability</w:t>
            </w:r>
          </w:p>
        </w:tc>
      </w:tr>
      <w:tr w:rsidR="00000000" w14:paraId="1140C57D"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E780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MLOps básico — CI/CD para modelos (2.3)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3320F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Data Catalog (1.5); Framework de Governança (1.3)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91E87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centralizada de IA (3.1); Monitoramento contínuo (3.4); IA Agêntica (4.1)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8F5F1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Técnica — pré-requisito de pipeline</w:t>
            </w:r>
          </w:p>
        </w:tc>
      </w:tr>
      <w:tr w:rsidR="00000000" w14:paraId="509B6FB6"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E4F9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Value Framework e ROI dashboard (2.5)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4DC3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Pilotos ativos (2.1, 2.2)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D5B221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FinOps for AI (4.3); Mapeamento de casos de uso por BU (3.2); Assessment v2 (4.5)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36E27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Analítica — dependência de dados de valor</w:t>
            </w:r>
          </w:p>
        </w:tc>
      </w:tr>
      <w:tr w:rsidR="00000000" w14:paraId="4B38FC7C"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19699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Capacitação Wave 1 (2.4)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F4A2D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Roadmap aprovado (1.2); AI Lead nomeado (1.1)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17FBF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Programa AI Champions (3.3); Capacitação Wave 2 (4.4)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62A98E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Organizacional — sequência de aprendizado</w:t>
            </w:r>
          </w:p>
        </w:tc>
      </w:tr>
      <w:tr w:rsidR="00000000" w14:paraId="72D0C3CC"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3AF2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centralizada de IA (3.1)</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7E56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MLOps básico (2.3); Data Catalog (1.5); Pilotos validados (2.1, 2.2)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BF0A0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Agêntica (4.1); AIaaS para clientes (3.5); FinOps for AI (4.3)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F053E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Técnica — infraestrutura de escala</w:t>
            </w:r>
          </w:p>
        </w:tc>
      </w:tr>
      <w:tr w:rsidR="00000000" w14:paraId="5F98DDE6"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F470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Mapeamento de casos de uso por BU (3.2)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8727A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Value Framework (2.5); Steering Committee ativo (1.1)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090E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AIaaS para clientes (3.5); Assessment v2 (4.5)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75A71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Estratégica — priorização de valor</w:t>
            </w:r>
          </w:p>
        </w:tc>
      </w:tr>
      <w:tr w:rsidR="00000000" w14:paraId="727F3B39"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6859CA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Programa AI Champions (3.3)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D7227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Capacitação Wave 1 (2.4); Mapeamento de BUs (3.2)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E52BFE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Capacitação Wave 2 (4.4); Sustentação cultural pós-M12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7988DA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Organizacional — disseminação cultural</w:t>
            </w:r>
          </w:p>
        </w:tc>
      </w:tr>
      <w:tr w:rsidR="00000000" w14:paraId="4FDFA641"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60FE7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Monitoramento contínuo e SLAs (3.4)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38B0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MLOps básico (2.3); Plataforma centralizada (3.1)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8E1466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Agêntica (4.1); Política de IA Responsável (4.2); FinOps for AI (4.3)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55603E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Operacional — pré-requisito de confiabilidade</w:t>
            </w:r>
          </w:p>
        </w:tc>
      </w:tr>
      <w:tr w:rsidR="00000000" w14:paraId="73707BCA"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F9EB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AIaaS para clientes (3.5)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BCA5A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centralizada (3.1); Diagnóstico regulatório (1.4); AI Value Framework (2.5)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CFD70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Receita incremental de IA; Assessment v2 (4.5)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C6672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Comercial + Regulatória</w:t>
            </w:r>
          </w:p>
        </w:tc>
      </w:tr>
      <w:tr w:rsidR="00000000" w14:paraId="0F6D34C9"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D49E3C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Agêntica em processos internos (4.1)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B50D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centralizada (3.1); MLOps + Monitoramento (2.3, 3.4); Framework de Governança (1.3)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C88D0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Expansão agêntica para clientes (pós-M12)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D66EF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Técnica + Governança — maturidade combinada</w:t>
            </w:r>
          </w:p>
        </w:tc>
      </w:tr>
      <w:tr w:rsidR="00000000" w14:paraId="6476E77F"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B8EB82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Política de IA Responsável (4.2)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D3B34F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Diagnóstico regulatório (1.4); Framework de Governança (1.3); Monitoramento (3.4)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36BB32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Certificação/auditoria externa; AIaaS escalado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5C5E88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Regulatória — conformidade integrada</w:t>
            </w:r>
          </w:p>
        </w:tc>
      </w:tr>
      <w:tr w:rsidR="00000000" w14:paraId="01C16B27"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9BEC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FinOps for AI (4.3)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CD8E0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centralizada (3.1); AI Value Framework (2.5); Monitoramento (3.4)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CF332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Proposta de investimento Nível 4 (4.5)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E971D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Financeira — rastreabilidade de custos/retorno</w:t>
            </w:r>
          </w:p>
        </w:tc>
      </w:tr>
      <w:tr w:rsidR="00000000" w14:paraId="38C5B170"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438580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Capacitação Wave 2 + Carreiras em IA (4.4)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0972DB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Capacitação Wave 1 (2.4); Programa AI Champions (3.3)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2C09B7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Retenção de talentos; Nível 4 sustentável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2191EF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Organizacional — acumulação de capital humano</w:t>
            </w:r>
          </w:p>
        </w:tc>
      </w:tr>
      <w:tr w:rsidR="00000000" w14:paraId="36A1FBD0" w14:textId="77777777">
        <w:trPr>
          <w:divId w:val="1491946794"/>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34E90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Assessment v2 e Roadmap Nível 4 (4.5)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DBCAF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Todas as iniciativas das Fases 1–4</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064C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Investimento ciclo 13–36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AD1F9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Estratégica — síntese de maturidade</w:t>
            </w:r>
          </w:p>
        </w:tc>
      </w:tr>
    </w:tbl>
    <w:p w14:paraId="7F461C1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0452647">
          <v:rect id="_x0000_i1058" alt="" style="width:425.2pt;height:.05pt;mso-width-percent:0;mso-height-percent:0;mso-width-percent:0;mso-height-percent:0" o:hralign="center" o:hrstd="t" o:hr="t" fillcolor="#a0a0a0" stroked="f"/>
        </w:pict>
      </w:r>
    </w:p>
    <w:p w14:paraId="3FB1CEFE"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Caminho Crítico</w:t>
      </w:r>
    </w:p>
    <w:p w14:paraId="235EB82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 caminho crítico da transformação de IA da Empresa Teste Maturidade IA percorre cinco nós sequenciais cuja falha ou atraso em qualquer ponto cascateia sobre todo o restante do roadmap:</w:t>
      </w:r>
    </w:p>
    <w:p w14:paraId="03CC37E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1.1 → 1.2 → 1.3 + 1.5 → 2.3 → 3.1 → 4.1 + 4.2 → 4.5</w:t>
      </w:r>
    </w:p>
    <w:p w14:paraId="4C89F43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ponto de partida inegociável é a </w:t>
      </w:r>
      <w:r>
        <w:rPr>
          <w:rStyle w:val="Forte"/>
          <w:rFonts w:ascii="Calibri" w:hAnsi="Calibri" w:cs="Calibri"/>
          <w:color w:val="1E293B"/>
          <w:sz w:val="22"/>
          <w:szCs w:val="22"/>
        </w:rPr>
        <w:t>nomeação do AI Lead e a aprovação do orçamento</w:t>
      </w:r>
      <w:r>
        <w:rPr>
          <w:rFonts w:ascii="Calibri" w:hAnsi="Calibri" w:cs="Calibri"/>
          <w:color w:val="1E293B"/>
          <w:sz w:val="22"/>
          <w:szCs w:val="22"/>
        </w:rPr>
        <w:t xml:space="preserve"> (1.1 e 1.2): sem mandato formal e linha orçamentária, nenhuma ação subsequente tem autorização ou recursos. O segundo gargalo é a dupla paralela de </w:t>
      </w:r>
      <w:r>
        <w:rPr>
          <w:rStyle w:val="Forte"/>
          <w:rFonts w:ascii="Calibri" w:hAnsi="Calibri" w:cs="Calibri"/>
          <w:color w:val="1E293B"/>
          <w:sz w:val="22"/>
          <w:szCs w:val="22"/>
        </w:rPr>
        <w:t>Framework de Governança (1.3)</w:t>
      </w:r>
      <w:r>
        <w:rPr>
          <w:rFonts w:ascii="Calibri" w:hAnsi="Calibri" w:cs="Calibri"/>
          <w:color w:val="1E293B"/>
          <w:sz w:val="22"/>
          <w:szCs w:val="22"/>
        </w:rPr>
        <w:t xml:space="preserve"> e </w:t>
      </w:r>
      <w:r>
        <w:rPr>
          <w:rStyle w:val="Forte"/>
          <w:rFonts w:ascii="Calibri" w:hAnsi="Calibri" w:cs="Calibri"/>
          <w:color w:val="1E293B"/>
          <w:sz w:val="22"/>
          <w:szCs w:val="22"/>
        </w:rPr>
        <w:t>Data Catalog (1.5)</w:t>
      </w:r>
      <w:r>
        <w:rPr>
          <w:rFonts w:ascii="Calibri" w:hAnsi="Calibri" w:cs="Calibri"/>
          <w:color w:val="1E293B"/>
          <w:sz w:val="22"/>
          <w:szCs w:val="22"/>
        </w:rPr>
        <w:t xml:space="preserve"> — ambos alimentam o MLOps básico (2.3), que por sua vez é o pré-requisito técnico para a </w:t>
      </w:r>
      <w:r>
        <w:rPr>
          <w:rStyle w:val="Forte"/>
          <w:rFonts w:ascii="Calibri" w:hAnsi="Calibri" w:cs="Calibri"/>
          <w:color w:val="1E293B"/>
          <w:sz w:val="22"/>
          <w:szCs w:val="22"/>
        </w:rPr>
        <w:t>Plataforma centralizada de IA (3.1)</w:t>
      </w:r>
      <w:r>
        <w:rPr>
          <w:rFonts w:ascii="Calibri" w:hAnsi="Calibri" w:cs="Calibri"/>
          <w:color w:val="1E293B"/>
          <w:sz w:val="22"/>
          <w:szCs w:val="22"/>
        </w:rPr>
        <w:t xml:space="preserve">, a espinha dorsal de toda a escala. A plataforma destrava simultaneamente a </w:t>
      </w:r>
      <w:r>
        <w:rPr>
          <w:rStyle w:val="Forte"/>
          <w:rFonts w:ascii="Calibri" w:hAnsi="Calibri" w:cs="Calibri"/>
          <w:color w:val="1E293B"/>
          <w:sz w:val="22"/>
          <w:szCs w:val="22"/>
        </w:rPr>
        <w:t>IA Agêntica (4.1)</w:t>
      </w:r>
      <w:r>
        <w:rPr>
          <w:rFonts w:ascii="Calibri" w:hAnsi="Calibri" w:cs="Calibri"/>
          <w:color w:val="1E293B"/>
          <w:sz w:val="22"/>
          <w:szCs w:val="22"/>
        </w:rPr>
        <w:t xml:space="preserve"> — onde a Empresa Teste Maturidade IA já demonstra maior maturidade relativa (3.13) e pode gerar diferencial competitivo imediato — e a </w:t>
      </w:r>
      <w:r>
        <w:rPr>
          <w:rStyle w:val="Forte"/>
          <w:rFonts w:ascii="Calibri" w:hAnsi="Calibri" w:cs="Calibri"/>
          <w:color w:val="1E293B"/>
          <w:sz w:val="22"/>
          <w:szCs w:val="22"/>
        </w:rPr>
        <w:t>Política de IA Responsável (4.2)</w:t>
      </w:r>
      <w:r>
        <w:rPr>
          <w:rFonts w:ascii="Calibri" w:hAnsi="Calibri" w:cs="Calibri"/>
          <w:color w:val="1E293B"/>
          <w:sz w:val="22"/>
          <w:szCs w:val="22"/>
        </w:rPr>
        <w:t xml:space="preserve">, que desbloqueará a expansão do AIaaS para clientes sem risco regulatório. O nó terminal, o </w:t>
      </w:r>
      <w:r>
        <w:rPr>
          <w:rStyle w:val="Forte"/>
          <w:rFonts w:ascii="Calibri" w:hAnsi="Calibri" w:cs="Calibri"/>
          <w:color w:val="1E293B"/>
          <w:sz w:val="22"/>
          <w:szCs w:val="22"/>
        </w:rPr>
        <w:t>Assessment v2 (4.5)</w:t>
      </w:r>
      <w:r>
        <w:rPr>
          <w:rFonts w:ascii="Calibri" w:hAnsi="Calibri" w:cs="Calibri"/>
          <w:color w:val="1E293B"/>
          <w:sz w:val="22"/>
          <w:szCs w:val="22"/>
        </w:rPr>
        <w:t>, só gera valor real se todas as iniciativas anteriores tiverem produzido evidências mensuráveis, pois é ele que justificará o salto de investimento de R$ 3 MM (Nível 2) para R$ 6 MM/ano (Nível 3), em linha com a trajetória MIT CISR e o retorno médio esperado de R$ 12 MM anuais ao consolidar o próximo estágio.</w:t>
      </w:r>
    </w:p>
    <w:p w14:paraId="636B6EA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Três riscos de bloqueio merecem atenção especial: </w:t>
      </w:r>
      <w:r>
        <w:rPr>
          <w:rStyle w:val="Forte"/>
          <w:rFonts w:ascii="Calibri" w:hAnsi="Calibri" w:cs="Calibri"/>
          <w:color w:val="1E293B"/>
          <w:sz w:val="22"/>
          <w:szCs w:val="22"/>
        </w:rPr>
        <w:t>(a)</w:t>
      </w:r>
      <w:r>
        <w:rPr>
          <w:rFonts w:ascii="Calibri" w:hAnsi="Calibri" w:cs="Calibri"/>
          <w:color w:val="1E293B"/>
          <w:sz w:val="22"/>
          <w:szCs w:val="22"/>
        </w:rPr>
        <w:t xml:space="preserve"> a Conformidade Regulatória (score 1.58, o menor do assessment) pode paralisar o AIaaS se o diagnóstico (1.4) não for concluído antes do lançamento da oferta (3.5); </w:t>
      </w:r>
      <w:r>
        <w:rPr>
          <w:rStyle w:val="Forte"/>
          <w:rFonts w:ascii="Calibri" w:hAnsi="Calibri" w:cs="Calibri"/>
          <w:color w:val="1E293B"/>
          <w:sz w:val="22"/>
          <w:szCs w:val="22"/>
        </w:rPr>
        <w:t>(b)</w:t>
      </w:r>
      <w:r>
        <w:rPr>
          <w:rFonts w:ascii="Calibri" w:hAnsi="Calibri" w:cs="Calibri"/>
          <w:color w:val="1E293B"/>
          <w:sz w:val="22"/>
          <w:szCs w:val="22"/>
        </w:rPr>
        <w:t xml:space="preserve"> a ausência de MLOps estruturado impede qualquer industrialização — a iniciativa 2.3 é a mais transversalmente bloqueante do roadmap; e </w:t>
      </w:r>
      <w:r>
        <w:rPr>
          <w:rStyle w:val="Forte"/>
          <w:rFonts w:ascii="Calibri" w:hAnsi="Calibri" w:cs="Calibri"/>
          <w:color w:val="1E293B"/>
          <w:sz w:val="22"/>
          <w:szCs w:val="22"/>
        </w:rPr>
        <w:t>(c)</w:t>
      </w:r>
      <w:r>
        <w:rPr>
          <w:rFonts w:ascii="Calibri" w:hAnsi="Calibri" w:cs="Calibri"/>
          <w:color w:val="1E293B"/>
          <w:sz w:val="22"/>
          <w:szCs w:val="22"/>
        </w:rPr>
        <w:t xml:space="preserve"> a dependência cultural do programa de AI Champions (3.3) sobre as Waves de capacitação (2.4) significa que atrasos na capacitação em M4–M6 comprimem a janela de inovação distribuída que sustenta o score de Prontidão para Mudança (2.80) — o principal ativo da Empresa Teste Maturidade IA nesta jornada.</w:t>
      </w:r>
    </w:p>
    <w:p w14:paraId="2B81A443"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8. PROJEÇÃO DE IMPACTO FINANCEIRO</w:t>
      </w:r>
    </w:p>
    <w:p w14:paraId="278767C5"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8.1 Trajetória MIT por Nível</w:t>
      </w:r>
    </w:p>
    <w:p w14:paraId="10A4CAB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Empresa Teste Maturidade IA opera atualmente no </w:t>
      </w:r>
      <w:r>
        <w:rPr>
          <w:rStyle w:val="Forte"/>
          <w:rFonts w:ascii="Calibri" w:hAnsi="Calibri" w:cs="Calibri"/>
          <w:color w:val="1E293B"/>
          <w:sz w:val="22"/>
          <w:szCs w:val="22"/>
        </w:rPr>
        <w:t>Nível 2 — Oportunista / Preparando</w:t>
      </w:r>
      <w:r>
        <w:rPr>
          <w:rFonts w:ascii="Calibri" w:hAnsi="Calibri" w:cs="Calibri"/>
          <w:color w:val="1E293B"/>
          <w:sz w:val="22"/>
          <w:szCs w:val="22"/>
        </w:rPr>
        <w:t xml:space="preserve"> (score consolidado 2,31), estágio no qual o benchmark MIT CISR aponta ROI típico entre </w:t>
      </w:r>
      <w:r>
        <w:rPr>
          <w:rStyle w:val="Forte"/>
          <w:rFonts w:ascii="Calibri" w:hAnsi="Calibri" w:cs="Calibri"/>
          <w:color w:val="1E293B"/>
          <w:sz w:val="22"/>
          <w:szCs w:val="22"/>
        </w:rPr>
        <w:t>50% e 150%</w:t>
      </w:r>
      <w:r>
        <w:rPr>
          <w:rFonts w:ascii="Calibri" w:hAnsi="Calibri" w:cs="Calibri"/>
          <w:color w:val="1E293B"/>
          <w:sz w:val="22"/>
          <w:szCs w:val="22"/>
        </w:rPr>
        <w:t xml:space="preserve"> (média de 100%) sobre o investimento anual em capacidades de IA, com horizonte de realização de </w:t>
      </w:r>
      <w:r>
        <w:rPr>
          <w:rStyle w:val="Forte"/>
          <w:rFonts w:ascii="Calibri" w:hAnsi="Calibri" w:cs="Calibri"/>
          <w:color w:val="1E293B"/>
          <w:sz w:val="22"/>
          <w:szCs w:val="22"/>
        </w:rPr>
        <w:t>12 a 18 meses</w:t>
      </w:r>
      <w:r>
        <w:rPr>
          <w:rFonts w:ascii="Calibri" w:hAnsi="Calibri" w:cs="Calibri"/>
          <w:color w:val="1E293B"/>
          <w:sz w:val="22"/>
          <w:szCs w:val="22"/>
        </w:rPr>
        <w:t>. Nesse patamar, o retorno ainda está fortemente condicionado à qualidade da fundação — catálogo de dados, práticas de MLOps, governança básica — antes que os casos de uso entreguem ganhos recorrentes e mensuráveis.</w:t>
      </w:r>
    </w:p>
    <w:p w14:paraId="1D0148F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A tabela abaixo reproduz a curva MIT CISR calibrada para o faturamento anual de R$ 200 milhões do projeto:</w:t>
      </w:r>
    </w:p>
    <w:tbl>
      <w:tblPr>
        <w:tblW w:w="5000" w:type="pct"/>
        <w:tblCellMar>
          <w:top w:w="15" w:type="dxa"/>
          <w:left w:w="15" w:type="dxa"/>
          <w:bottom w:w="15" w:type="dxa"/>
          <w:right w:w="15" w:type="dxa"/>
        </w:tblCellMar>
        <w:tblLook w:val="04A0" w:firstRow="1" w:lastRow="0" w:firstColumn="1" w:lastColumn="0" w:noHBand="0" w:noVBand="1"/>
      </w:tblPr>
      <w:tblGrid>
        <w:gridCol w:w="872"/>
        <w:gridCol w:w="1493"/>
        <w:gridCol w:w="1662"/>
        <w:gridCol w:w="1614"/>
        <w:gridCol w:w="1570"/>
        <w:gridCol w:w="1277"/>
      </w:tblGrid>
      <w:tr w:rsidR="00000000" w14:paraId="48116706" w14:textId="77777777">
        <w:trPr>
          <w:divId w:val="489641218"/>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557E81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Nível MIT</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86FB07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Descrição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FD0C31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ROI típico s/ investimento em IA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6D8C2E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Investimento anual ref.</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4BA4D0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Retorno anual médio esperado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A2993A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Horizonte</w:t>
            </w:r>
          </w:p>
        </w:tc>
      </w:tr>
      <w:tr w:rsidR="00000000" w14:paraId="7553D557" w14:textId="77777777">
        <w:trPr>
          <w:divId w:val="48964121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AA1B5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E86B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Experiment &amp; Prepare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7191A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a 50% (média 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ED805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R$ 1.500.000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609C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69B50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18–24 meses</w:t>
            </w:r>
          </w:p>
        </w:tc>
      </w:tr>
      <w:tr w:rsidR="00000000" w14:paraId="7F23568C" w14:textId="77777777">
        <w:trPr>
          <w:divId w:val="48964121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2C631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w:t>
            </w:r>
            <w:r>
              <w:rPr>
                <w:rFonts w:ascii="Calibri" w:eastAsia="Times New Roman" w:hAnsi="Calibri" w:cs="Calibri"/>
                <w:color w:val="1E293B"/>
                <w:sz w:val="21"/>
                <w:szCs w:val="21"/>
              </w:rPr>
              <w:t xml:space="preserve"> ← </w:t>
            </w:r>
            <w:r>
              <w:rPr>
                <w:rStyle w:val="nfase"/>
                <w:rFonts w:ascii="Calibri" w:eastAsia="Times New Roman" w:hAnsi="Calibri" w:cs="Calibri"/>
                <w:color w:val="1E293B"/>
                <w:sz w:val="21"/>
                <w:szCs w:val="21"/>
              </w:rPr>
              <w:t>atual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E2463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Build Pilots &amp; Capabilities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ABA1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a 150% (média 100%)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F65C4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E3A23B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777EF4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12–18 meses</w:t>
            </w:r>
          </w:p>
        </w:tc>
      </w:tr>
      <w:tr w:rsidR="00000000" w14:paraId="513AD26B" w14:textId="77777777">
        <w:trPr>
          <w:divId w:val="48964121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BC3E4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AF238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Develop AI Ways of Working</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F1FEA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150% a 300% (média 200%)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0C3310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R$ 6.000.000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3B88D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R$ 12.000.000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FE8B8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9–12 meses</w:t>
            </w:r>
          </w:p>
        </w:tc>
      </w:tr>
      <w:tr w:rsidR="00000000" w14:paraId="795BF57E" w14:textId="77777777">
        <w:trPr>
          <w:divId w:val="489641218"/>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A724B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F3781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Become AI Future Ready</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F74C3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300% a 500% (média 400%)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D7BC57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R$ 11.000.000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05304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R$ 44.000.000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EC0A8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6–9 meses</w:t>
            </w:r>
          </w:p>
        </w:tc>
      </w:tr>
      <w:tr w:rsidR="00000000" w14:paraId="165DF0DF" w14:textId="77777777">
        <w:trPr>
          <w:divId w:val="489641218"/>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E5C9F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80F1C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Future Ready (referência)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C72C5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500% a 1000% (média 700%)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FDCEE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R$ 19.000.000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F7CCC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R$ 133.000.000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7721F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3–6 meses</w:t>
            </w:r>
          </w:p>
        </w:tc>
      </w:tr>
    </w:tbl>
    <w:p w14:paraId="2CEE5814"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Ganho Incremental ao Subir do Nível 2 para o Nível 3 (horizonte 18–36 meses)</w:t>
      </w:r>
    </w:p>
    <w:p w14:paraId="4EB5D28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transição do estágio </w:t>
      </w:r>
      <w:r>
        <w:rPr>
          <w:rStyle w:val="nfase"/>
          <w:rFonts w:ascii="Calibri" w:hAnsi="Calibri" w:cs="Calibri"/>
          <w:color w:val="1E293B"/>
          <w:sz w:val="22"/>
          <w:szCs w:val="22"/>
        </w:rPr>
        <w:t>Build Pilots &amp; Capabilities</w:t>
      </w:r>
      <w:r>
        <w:rPr>
          <w:rFonts w:ascii="Calibri" w:hAnsi="Calibri" w:cs="Calibri"/>
          <w:color w:val="1E293B"/>
          <w:sz w:val="22"/>
          <w:szCs w:val="22"/>
        </w:rPr>
        <w:t xml:space="preserve"> para </w:t>
      </w:r>
      <w:r>
        <w:rPr>
          <w:rStyle w:val="nfase"/>
          <w:rFonts w:ascii="Calibri" w:hAnsi="Calibri" w:cs="Calibri"/>
          <w:color w:val="1E293B"/>
          <w:sz w:val="22"/>
          <w:szCs w:val="22"/>
        </w:rPr>
        <w:t>Develop AI Ways of Working</w:t>
      </w:r>
      <w:r>
        <w:rPr>
          <w:rFonts w:ascii="Calibri" w:hAnsi="Calibri" w:cs="Calibri"/>
          <w:color w:val="1E293B"/>
          <w:sz w:val="22"/>
          <w:szCs w:val="22"/>
        </w:rPr>
        <w:t xml:space="preserve"> representa o salto econômico mais relevante do roadmap imediato da Empresa Teste Maturidade IA. Três mecanismos explicam o salto de retorno médio de R$ 3 milhões para R$ 12 milhões anuais (+R$ 9 milhões/ano sobre investimento em IA):</w:t>
      </w:r>
    </w:p>
    <w:p w14:paraId="305A6806" w14:textId="77777777" w:rsidR="00000000" w:rsidRDefault="00000000">
      <w:pPr>
        <w:numPr>
          <w:ilvl w:val="0"/>
          <w:numId w:val="4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Escala de reuso:</w:t>
      </w:r>
      <w:r>
        <w:rPr>
          <w:rFonts w:ascii="Calibri" w:eastAsia="Times New Roman" w:hAnsi="Calibri" w:cs="Calibri"/>
          <w:color w:val="1E293B"/>
          <w:sz w:val="22"/>
          <w:szCs w:val="22"/>
        </w:rPr>
        <w:t xml:space="preserve"> no Nível 3, modelos e componentes de IA deixam de ser projetos isolados e passam a ser ativos reutilizáveis entre squads e unidades de negócio — reduzindo o custo marginal de cada novo caso de uso.</w:t>
      </w:r>
    </w:p>
    <w:p w14:paraId="17558600" w14:textId="77777777" w:rsidR="00000000" w:rsidRDefault="00000000">
      <w:pPr>
        <w:numPr>
          <w:ilvl w:val="0"/>
          <w:numId w:val="4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Encurtamento do time-to-value:</w:t>
      </w:r>
      <w:r>
        <w:rPr>
          <w:rFonts w:ascii="Calibri" w:eastAsia="Times New Roman" w:hAnsi="Calibri" w:cs="Calibri"/>
          <w:color w:val="1E293B"/>
          <w:sz w:val="22"/>
          <w:szCs w:val="22"/>
        </w:rPr>
        <w:t xml:space="preserve"> com MLOps maduros e plataforma centralizada (dimensões com scores 1,89 e 2,14 atualmente), o ciclo de deploy cai de semanas para dias, multiplicando a taxa de experimentos bem-sucedidos escalados.</w:t>
      </w:r>
    </w:p>
    <w:p w14:paraId="47025CFB" w14:textId="77777777" w:rsidR="00000000" w:rsidRDefault="00000000">
      <w:pPr>
        <w:numPr>
          <w:ilvl w:val="0"/>
          <w:numId w:val="4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Receita incremental de IA:</w:t>
      </w:r>
      <w:r>
        <w:rPr>
          <w:rFonts w:ascii="Calibri" w:eastAsia="Times New Roman" w:hAnsi="Calibri" w:cs="Calibri"/>
          <w:color w:val="1E293B"/>
          <w:sz w:val="22"/>
          <w:szCs w:val="22"/>
        </w:rPr>
        <w:t xml:space="preserve"> ao formalizar capacidades de IA como oferta (dimensão </w:t>
      </w:r>
      <w:r>
        <w:rPr>
          <w:rStyle w:val="nfase"/>
          <w:rFonts w:ascii="Calibri" w:eastAsia="Times New Roman" w:hAnsi="Calibri" w:cs="Calibri"/>
          <w:color w:val="1E293B"/>
          <w:sz w:val="22"/>
          <w:szCs w:val="22"/>
        </w:rPr>
        <w:t>IA como Gerador de Receita</w:t>
      </w:r>
      <w:r>
        <w:rPr>
          <w:rFonts w:ascii="Calibri" w:eastAsia="Times New Roman" w:hAnsi="Calibri" w:cs="Calibri"/>
          <w:color w:val="1E293B"/>
          <w:sz w:val="22"/>
          <w:szCs w:val="22"/>
        </w:rPr>
        <w:t>, score 2,37), a Empresa Teste Maturidade IA pode embalar soluções proprietárias para clientes, abrindo linha de receita que hoje permanece latente.</w:t>
      </w:r>
    </w:p>
    <w:p w14:paraId="40B5DEC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investimento necessário para sustentar o Nível 3 situa-se em torno de R$ 6 milhões/ano — o dobro do referencial atual de R$ 3 milhões — com retorno esperado de R$ 12 milhões, equivalente a </w:t>
      </w:r>
      <w:r>
        <w:rPr>
          <w:rStyle w:val="Forte"/>
          <w:rFonts w:ascii="Calibri" w:hAnsi="Calibri" w:cs="Calibri"/>
          <w:color w:val="1E293B"/>
          <w:sz w:val="22"/>
          <w:szCs w:val="22"/>
        </w:rPr>
        <w:t>payback de aproximadamente 6 meses</w:t>
      </w:r>
      <w:r>
        <w:rPr>
          <w:rFonts w:ascii="Calibri" w:hAnsi="Calibri" w:cs="Calibri"/>
          <w:color w:val="1E293B"/>
          <w:sz w:val="22"/>
          <w:szCs w:val="22"/>
        </w:rPr>
        <w:t xml:space="preserve"> após consolidação das práticas do novo estágio.</w:t>
      </w:r>
    </w:p>
    <w:p w14:paraId="1C2F563A"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BD6637E">
          <v:rect id="_x0000_i1057" alt="" style="width:425.2pt;height:.05pt;mso-width-percent:0;mso-height-percent:0;mso-width-percent:0;mso-height-percent:0" o:hralign="center" o:hrstd="t" o:hr="t" fillcolor="#a0a0a0" stroked="f"/>
        </w:pict>
      </w:r>
    </w:p>
    <w:p w14:paraId="5F0BA6D1"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8.2 Cenários de 12 Meses</w:t>
      </w:r>
    </w:p>
    <w:p w14:paraId="5D0B7F2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Os três cenários abaixo utilizam exclusivamente a base financeira do assessment: faturamento de R$ 200 milhões, percentual de referência de 1,8% (R$ 3,6 milhões de base de economia/receita incremental) e múltiplos de ROI Conservador 0,69×, Base 1,06× e Agressivo 1,53×. O investimento anual de referência é R$ 3.000.000.</w:t>
      </w:r>
    </w:p>
    <w:tbl>
      <w:tblPr>
        <w:tblW w:w="5000" w:type="pct"/>
        <w:tblCellMar>
          <w:top w:w="15" w:type="dxa"/>
          <w:left w:w="15" w:type="dxa"/>
          <w:bottom w:w="15" w:type="dxa"/>
          <w:right w:w="15" w:type="dxa"/>
        </w:tblCellMar>
        <w:tblLook w:val="04A0" w:firstRow="1" w:lastRow="0" w:firstColumn="1" w:lastColumn="0" w:noHBand="0" w:noVBand="1"/>
      </w:tblPr>
      <w:tblGrid>
        <w:gridCol w:w="3556"/>
        <w:gridCol w:w="1644"/>
        <w:gridCol w:w="1644"/>
        <w:gridCol w:w="1644"/>
      </w:tblGrid>
      <w:tr w:rsidR="00000000" w14:paraId="526270B8" w14:textId="77777777">
        <w:trPr>
          <w:divId w:val="166959703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D1A1C91"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Parâmetro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DC6A3E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Conservador</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88A4B0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C6D2649"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Agressivo</w:t>
            </w:r>
          </w:p>
        </w:tc>
      </w:tr>
      <w:tr w:rsidR="00000000" w14:paraId="59BE50AB"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8B378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Investimento 12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8DD48F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R$ 2.500.000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C445A2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R$ 3.000.000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42AB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R$ 3.600.000</w:t>
            </w:r>
          </w:p>
        </w:tc>
      </w:tr>
      <w:tr w:rsidR="00000000" w14:paraId="657E9A36"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529978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Economia operacional 12 meses</w:t>
            </w:r>
            <w:r>
              <w:rPr>
                <w:rFonts w:ascii="Calibri" w:eastAsia="Times New Roman" w:hAnsi="Calibri" w:cs="Calibri"/>
                <w:color w:val="1E293B"/>
                <w:sz w:val="21"/>
                <w:szCs w:val="21"/>
              </w:rPr>
              <w:t xml:space="preserve"> ¹</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A6BC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R$ 1.104.000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29F5B4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R$ 1.728.000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67EB1F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R$ 2.592.000</w:t>
            </w:r>
          </w:p>
        </w:tc>
      </w:tr>
      <w:tr w:rsidR="00000000" w14:paraId="5EDA00C4"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EEF40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Receita incremental 12 meses</w:t>
            </w:r>
            <w:r>
              <w:rPr>
                <w:rFonts w:ascii="Calibri" w:eastAsia="Times New Roman" w:hAnsi="Calibri" w:cs="Calibri"/>
                <w:color w:val="1E293B"/>
                <w:sz w:val="21"/>
                <w:szCs w:val="21"/>
              </w:rPr>
              <w:t xml:space="preserve"> ²</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1414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R$ 620.000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66EE9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R$ 972.000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DB51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R$ 1.908.000</w:t>
            </w:r>
          </w:p>
        </w:tc>
      </w:tr>
      <w:tr w:rsidR="00000000" w14:paraId="0D5761E0"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C5C36A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Retorno total 12 meses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A930C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R$ 1.724.000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DC2390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R$ 2.700.000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F11EA5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R$ 4.500.000</w:t>
            </w:r>
          </w:p>
        </w:tc>
      </w:tr>
      <w:tr w:rsidR="00000000" w14:paraId="7A8A91B9"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C527B2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ROI sobre investimento em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4C856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69%</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A5A2D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90%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26512B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125%</w:t>
            </w:r>
          </w:p>
        </w:tc>
      </w:tr>
      <w:tr w:rsidR="00000000" w14:paraId="563CA0C7"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105515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Múltiplo sobre investimento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40EF71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0,69×</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29D7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0,90×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93BCD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1,25×</w:t>
            </w:r>
          </w:p>
        </w:tc>
      </w:tr>
      <w:tr w:rsidR="00000000" w14:paraId="2B99EA7E" w14:textId="77777777">
        <w:trPr>
          <w:divId w:val="16695970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EF0DE6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Payback estimado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991667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~17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14DAE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~13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1E39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~10 meses</w:t>
            </w:r>
          </w:p>
        </w:tc>
      </w:tr>
    </w:tbl>
    <w:p w14:paraId="4AC5ADA7" w14:textId="77777777" w:rsidR="00000000" w:rsidRDefault="00000000">
      <w:pPr>
        <w:pStyle w:val="NormalWeb"/>
        <w:shd w:val="clear" w:color="auto" w:fill="FAF5FF"/>
        <w:spacing w:before="0" w:beforeAutospacing="0" w:after="120" w:afterAutospacing="0"/>
        <w:divId w:val="1958558380"/>
        <w:rPr>
          <w:rFonts w:ascii="Calibri" w:hAnsi="Calibri" w:cs="Calibri"/>
          <w:i/>
          <w:iCs/>
          <w:color w:val="581C87"/>
          <w:sz w:val="22"/>
          <w:szCs w:val="22"/>
        </w:rPr>
      </w:pPr>
      <w:r>
        <w:rPr>
          <w:rFonts w:ascii="Calibri" w:hAnsi="Calibri" w:cs="Calibri"/>
          <w:i/>
          <w:iCs/>
          <w:color w:val="581C87"/>
          <w:sz w:val="22"/>
          <w:szCs w:val="22"/>
        </w:rPr>
        <w:t>¹ Calculado sobre 1,8% do faturamento alocado à economia, distribuído conforme velocidade de captura do cenário.</w:t>
      </w:r>
    </w:p>
    <w:p w14:paraId="1CA3BD42" w14:textId="77777777" w:rsidR="00000000" w:rsidRDefault="00000000">
      <w:pPr>
        <w:pStyle w:val="NormalWeb"/>
        <w:shd w:val="clear" w:color="auto" w:fill="FAF5FF"/>
        <w:spacing w:before="0" w:beforeAutospacing="0" w:after="120" w:afterAutospacing="0"/>
        <w:divId w:val="1958558380"/>
        <w:rPr>
          <w:rFonts w:ascii="Calibri" w:hAnsi="Calibri" w:cs="Calibri"/>
          <w:i/>
          <w:iCs/>
          <w:color w:val="581C87"/>
          <w:sz w:val="22"/>
          <w:szCs w:val="22"/>
        </w:rPr>
      </w:pPr>
      <w:r>
        <w:rPr>
          <w:rFonts w:ascii="Calibri" w:hAnsi="Calibri" w:cs="Calibri"/>
          <w:i/>
          <w:iCs/>
          <w:color w:val="581C87"/>
          <w:sz w:val="22"/>
          <w:szCs w:val="22"/>
        </w:rPr>
        <w:t xml:space="preserve">² Receita incremental pressupõe avanço na dimensão </w:t>
      </w:r>
      <w:r>
        <w:rPr>
          <w:rStyle w:val="nfase"/>
          <w:rFonts w:ascii="Calibri" w:hAnsi="Calibri" w:cs="Calibri"/>
          <w:color w:val="581C87"/>
          <w:sz w:val="22"/>
          <w:szCs w:val="22"/>
        </w:rPr>
        <w:t>IA como Gerador de Receita</w:t>
      </w:r>
      <w:r>
        <w:rPr>
          <w:rFonts w:ascii="Calibri" w:hAnsi="Calibri" w:cs="Calibri"/>
          <w:i/>
          <w:iCs/>
          <w:color w:val="581C87"/>
          <w:sz w:val="22"/>
          <w:szCs w:val="22"/>
        </w:rPr>
        <w:t xml:space="preserve"> (score atual 2,37) com ao menos duas iniciativas comercializáveis de IA ativadas no período.</w:t>
      </w:r>
    </w:p>
    <w:p w14:paraId="50A03B6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Leitura dos cenários:</w:t>
      </w:r>
    </w:p>
    <w:p w14:paraId="2E14DC7B" w14:textId="77777777" w:rsidR="00000000" w:rsidRDefault="00000000">
      <w:pPr>
        <w:numPr>
          <w:ilvl w:val="0"/>
          <w:numId w:val="4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Conservador:</w:t>
      </w:r>
      <w:r>
        <w:rPr>
          <w:rFonts w:ascii="Calibri" w:eastAsia="Times New Roman" w:hAnsi="Calibri" w:cs="Calibri"/>
          <w:color w:val="1E293B"/>
          <w:sz w:val="22"/>
          <w:szCs w:val="22"/>
        </w:rPr>
        <w:t xml:space="preserve"> execução restrita a casos de uso já mapeados, sem expansão de plataforma. Compatível com o score atual de Operações e Processos (1,98) e Conformidade Regulatória (1,58) sem intervenção imediata. ROI de 69% é coerente com o teto inferior do Nível 2 (MIT CISR: 50–150%).</w:t>
      </w:r>
    </w:p>
    <w:p w14:paraId="715B1546" w14:textId="77777777" w:rsidR="00000000" w:rsidRDefault="00000000">
      <w:pPr>
        <w:numPr>
          <w:ilvl w:val="0"/>
          <w:numId w:val="4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Base:</w:t>
      </w:r>
      <w:r>
        <w:rPr>
          <w:rFonts w:ascii="Calibri" w:eastAsia="Times New Roman" w:hAnsi="Calibri" w:cs="Calibri"/>
          <w:color w:val="1E293B"/>
          <w:sz w:val="22"/>
          <w:szCs w:val="22"/>
        </w:rPr>
        <w:t xml:space="preserve"> execução do roadmap de 90 dias prioritários (MLOps mínimo, playbook de governança, dois pilotos de developer productivity), capturando eficiência interna e iniciando monetização externa. ROI de 90% posiciona a organização no centro da faixa do Nível 2.</w:t>
      </w:r>
    </w:p>
    <w:p w14:paraId="4E4C2048" w14:textId="77777777" w:rsidR="00000000" w:rsidRDefault="00000000">
      <w:pPr>
        <w:numPr>
          <w:ilvl w:val="0"/>
          <w:numId w:val="4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Agressivo:</w:t>
      </w:r>
      <w:r>
        <w:rPr>
          <w:rFonts w:ascii="Calibri" w:eastAsia="Times New Roman" w:hAnsi="Calibri" w:cs="Calibri"/>
          <w:color w:val="1E293B"/>
          <w:sz w:val="22"/>
          <w:szCs w:val="22"/>
        </w:rPr>
        <w:t xml:space="preserve"> aceleração com time dedicado, ativação do Playbook Atlas para módulos de </w:t>
      </w:r>
      <w:r>
        <w:rPr>
          <w:rStyle w:val="nfase"/>
          <w:rFonts w:ascii="Calibri" w:eastAsia="Times New Roman" w:hAnsi="Calibri" w:cs="Calibri"/>
          <w:color w:val="1E293B"/>
          <w:sz w:val="22"/>
          <w:szCs w:val="22"/>
        </w:rPr>
        <w:t>AI Platform Blueprint</w:t>
      </w:r>
      <w:r>
        <w:rPr>
          <w:rFonts w:ascii="Calibri" w:eastAsia="Times New Roman" w:hAnsi="Calibri" w:cs="Calibri"/>
          <w:color w:val="1E293B"/>
          <w:sz w:val="22"/>
          <w:szCs w:val="22"/>
        </w:rPr>
        <w:t xml:space="preserve"> e </w:t>
      </w:r>
      <w:r>
        <w:rPr>
          <w:rStyle w:val="nfase"/>
          <w:rFonts w:ascii="Calibri" w:eastAsia="Times New Roman" w:hAnsi="Calibri" w:cs="Calibri"/>
          <w:color w:val="1E293B"/>
          <w:sz w:val="22"/>
          <w:szCs w:val="22"/>
        </w:rPr>
        <w:t>MLOps Accelerator</w:t>
      </w:r>
      <w:r>
        <w:rPr>
          <w:rFonts w:ascii="Calibri" w:eastAsia="Times New Roman" w:hAnsi="Calibri" w:cs="Calibri"/>
          <w:color w:val="1E293B"/>
          <w:sz w:val="22"/>
          <w:szCs w:val="22"/>
        </w:rPr>
        <w:t>, e lançamento de AIaaS para clientes estratégicos. ROI de 125% aproxima-se do teto do Nível 2 e sinaliza entrada no Nível 3 nos meses finais do período.</w:t>
      </w:r>
    </w:p>
    <w:p w14:paraId="597F3BC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8C771A3">
          <v:rect id="_x0000_i1056" alt="" style="width:425.2pt;height:.05pt;mso-width-percent:0;mso-height-percent:0;mso-width-percent:0;mso-height-percent:0" o:hralign="center" o:hrstd="t" o:hr="t" fillcolor="#a0a0a0" stroked="f"/>
        </w:pict>
      </w:r>
    </w:p>
    <w:p w14:paraId="01242D8A"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8.3 Longo Prazo (3–5 Anos)</w:t>
      </w:r>
    </w:p>
    <w:p w14:paraId="63F3B31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curva de valor no horizonte de 36 a 60 meses é determinada, acima de qualquer outra variável, pela </w:t>
      </w:r>
      <w:r>
        <w:rPr>
          <w:rStyle w:val="Forte"/>
          <w:rFonts w:ascii="Calibri" w:hAnsi="Calibri" w:cs="Calibri"/>
          <w:color w:val="1E293B"/>
          <w:sz w:val="22"/>
          <w:szCs w:val="22"/>
        </w:rPr>
        <w:t>velocidade com que a Empresa Teste Maturidade IA consolida as práticas do Nível 3 e inicia a transição para o Nível 4</w:t>
      </w:r>
      <w:r>
        <w:rPr>
          <w:rFonts w:ascii="Calibri" w:hAnsi="Calibri" w:cs="Calibri"/>
          <w:color w:val="1E293B"/>
          <w:sz w:val="22"/>
          <w:szCs w:val="22"/>
        </w:rPr>
        <w:t xml:space="preserve">. O benchmark MIT CISR demonstra que organizações de tecnologia de grande porte que investem de forma consistente em governança, plataforma e talentos de IA atingem o estágio </w:t>
      </w:r>
      <w:r>
        <w:rPr>
          <w:rStyle w:val="nfase"/>
          <w:rFonts w:ascii="Calibri" w:hAnsi="Calibri" w:cs="Calibri"/>
          <w:color w:val="1E293B"/>
          <w:sz w:val="22"/>
          <w:szCs w:val="22"/>
        </w:rPr>
        <w:t>Develop AI Ways of Working</w:t>
      </w:r>
      <w:r>
        <w:rPr>
          <w:rFonts w:ascii="Calibri" w:hAnsi="Calibri" w:cs="Calibri"/>
          <w:color w:val="1E293B"/>
          <w:sz w:val="22"/>
          <w:szCs w:val="22"/>
        </w:rPr>
        <w:t xml:space="preserve"> entre 18 e 30 meses a partir de um ponto de partida equivalente ao score 2,31.</w:t>
      </w:r>
    </w:p>
    <w:p w14:paraId="172B5148"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No horizonte de 36 meses, com investimento crescendo de R$ 3 milhões para R$ 6 milhões/ano (Nível 3), o retorno anual esperado sobre o investimento em IA converge para R$ 12 milhões. Ao avançar para o Nível 4 no quinto ano — o que pressupõe plataforma industrializada, comercialização de IA como produto e integração de ecossistema —, o referencial MIT aponta retorno anual médio de R$ 44 milhões sobre um investimento de R$ 11 milhões. A </w:t>
      </w:r>
      <w:r>
        <w:rPr>
          <w:rStyle w:val="Forte"/>
          <w:rFonts w:ascii="Calibri" w:hAnsi="Calibri" w:cs="Calibri"/>
          <w:color w:val="1E293B"/>
          <w:sz w:val="22"/>
          <w:szCs w:val="22"/>
        </w:rPr>
        <w:t>acumulação de valor</w:t>
      </w:r>
      <w:r>
        <w:rPr>
          <w:rFonts w:ascii="Calibri" w:hAnsi="Calibri" w:cs="Calibri"/>
          <w:color w:val="1E293B"/>
          <w:sz w:val="22"/>
          <w:szCs w:val="22"/>
        </w:rPr>
        <w:t xml:space="preserve"> entre o presente e o Nível 4 representa, portanto, um delta de aproximadamente </w:t>
      </w:r>
      <w:r>
        <w:rPr>
          <w:rStyle w:val="Forte"/>
          <w:rFonts w:ascii="Calibri" w:hAnsi="Calibri" w:cs="Calibri"/>
          <w:color w:val="1E293B"/>
          <w:sz w:val="22"/>
          <w:szCs w:val="22"/>
        </w:rPr>
        <w:t>+R$ 41 milhões/ano</w:t>
      </w:r>
      <w:r>
        <w:rPr>
          <w:rFonts w:ascii="Calibri" w:hAnsi="Calibri" w:cs="Calibri"/>
          <w:color w:val="1E293B"/>
          <w:sz w:val="22"/>
          <w:szCs w:val="22"/>
        </w:rPr>
        <w:t xml:space="preserve"> sobre o investimento em IA — cifra que justifica economicamente o esforço de transformação.</w:t>
      </w:r>
    </w:p>
    <w:p w14:paraId="73D9EBC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empresas de tecnologia do porte da Empresa Teste Maturidade IA, os vetores de valor de longo prazo concentram-se em: (a) receita recorrente de produtos de IA embarcados em contratos de serviço gerenciado; (b) redução de custo de entrega de software via </w:t>
      </w:r>
      <w:r>
        <w:rPr>
          <w:rStyle w:val="nfase"/>
          <w:rFonts w:ascii="Calibri" w:hAnsi="Calibri" w:cs="Calibri"/>
          <w:color w:val="1E293B"/>
          <w:sz w:val="22"/>
          <w:szCs w:val="22"/>
        </w:rPr>
        <w:t>developer productivity</w:t>
      </w:r>
      <w:r>
        <w:rPr>
          <w:rFonts w:ascii="Calibri" w:hAnsi="Calibri" w:cs="Calibri"/>
          <w:color w:val="1E293B"/>
          <w:sz w:val="22"/>
          <w:szCs w:val="22"/>
        </w:rPr>
        <w:t xml:space="preserve"> (code generation, automated testing); e (c) diferenciação competitiva em processos de venda, com aceleração de ciclo por IA conversacional e scoring de oportunidades.</w:t>
      </w:r>
    </w:p>
    <w:p w14:paraId="0A36389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8.3.1 Premissas e Fontes</w:t>
      </w:r>
    </w:p>
    <w:p w14:paraId="5D25948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As projeções desta seção combinam três referências públicas: o </w:t>
      </w:r>
      <w:r>
        <w:rPr>
          <w:rStyle w:val="Forte"/>
          <w:rFonts w:ascii="Calibri" w:hAnsi="Calibri" w:cs="Calibri"/>
          <w:color w:val="1E293B"/>
          <w:sz w:val="22"/>
          <w:szCs w:val="22"/>
        </w:rPr>
        <w:t>MIT CISR Enterprise AI Maturity Model</w:t>
      </w:r>
      <w:r>
        <w:rPr>
          <w:rFonts w:ascii="Calibri" w:hAnsi="Calibri" w:cs="Calibri"/>
          <w:color w:val="1E293B"/>
          <w:sz w:val="22"/>
          <w:szCs w:val="22"/>
        </w:rPr>
        <w:t xml:space="preserve"> (Research Briefings 2024–2025), que fundamenta as faixas de ROI por nível e os horizontes típicos de realização; o </w:t>
      </w:r>
      <w:r>
        <w:rPr>
          <w:rStyle w:val="Forte"/>
          <w:rFonts w:ascii="Calibri" w:hAnsi="Calibri" w:cs="Calibri"/>
          <w:color w:val="1E293B"/>
          <w:sz w:val="22"/>
          <w:szCs w:val="22"/>
        </w:rPr>
        <w:t>McKinsey Global Institute</w:t>
      </w:r>
      <w:r>
        <w:rPr>
          <w:rFonts w:ascii="Calibri" w:hAnsi="Calibri" w:cs="Calibri"/>
          <w:color w:val="1E293B"/>
          <w:sz w:val="22"/>
          <w:szCs w:val="22"/>
        </w:rPr>
        <w:t xml:space="preserve"> (</w:t>
      </w:r>
      <w:r>
        <w:rPr>
          <w:rStyle w:val="nfase"/>
          <w:rFonts w:ascii="Calibri" w:hAnsi="Calibri" w:cs="Calibri"/>
          <w:color w:val="1E293B"/>
          <w:sz w:val="22"/>
          <w:szCs w:val="22"/>
        </w:rPr>
        <w:t>The State of AI</w:t>
      </w:r>
      <w:r>
        <w:rPr>
          <w:rFonts w:ascii="Calibri" w:hAnsi="Calibri" w:cs="Calibri"/>
          <w:color w:val="1E293B"/>
          <w:sz w:val="22"/>
          <w:szCs w:val="22"/>
        </w:rPr>
        <w:t xml:space="preserve">, 2023–2024), que calibra os percentuais de economia operacional e receita incremental para empresas de tecnologia de médio-grande porte; e o </w:t>
      </w:r>
      <w:r>
        <w:rPr>
          <w:rStyle w:val="Forte"/>
          <w:rFonts w:ascii="Calibri" w:hAnsi="Calibri" w:cs="Calibri"/>
          <w:color w:val="1E293B"/>
          <w:sz w:val="22"/>
          <w:szCs w:val="22"/>
        </w:rPr>
        <w:t>BCG AI Value Chain</w:t>
      </w:r>
      <w:r>
        <w:rPr>
          <w:rFonts w:ascii="Calibri" w:hAnsi="Calibri" w:cs="Calibri"/>
          <w:color w:val="1E293B"/>
          <w:sz w:val="22"/>
          <w:szCs w:val="22"/>
        </w:rPr>
        <w:t xml:space="preserve"> (2024), que orienta a decomposição de valor por unidade de negócio e tipo de IA. O percentual de referência de 1,8% do faturamento foi fornecido diretamente pelos parâmetros do assessment e prevalece sobre qualquer outro benchmarking externo nas projeções numéricas deste documento.</w:t>
      </w:r>
    </w:p>
    <w:p w14:paraId="05BEF3A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8.3.2 Disclaimer</w:t>
      </w:r>
    </w:p>
    <w:p w14:paraId="0997136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As projeções financeiras apresentadas nas Seções 8.1, 8.2 e 8.3 têm caráter </w:t>
      </w:r>
      <w:r>
        <w:rPr>
          <w:rStyle w:val="Forte"/>
          <w:rFonts w:ascii="Calibri" w:hAnsi="Calibri" w:cs="Calibri"/>
          <w:color w:val="1E293B"/>
          <w:sz w:val="22"/>
          <w:szCs w:val="22"/>
        </w:rPr>
        <w:t>estritamente referencial e orientativo</w:t>
      </w:r>
      <w:r>
        <w:rPr>
          <w:rFonts w:ascii="Calibri" w:hAnsi="Calibri" w:cs="Calibri"/>
          <w:color w:val="1E293B"/>
          <w:sz w:val="22"/>
          <w:szCs w:val="22"/>
        </w:rPr>
        <w:t>. Os valores foram derivados de benchmarks públicos do MIT CISR, McKinsey e BCG, combinados com os parâmetros financeiros declarados pela organização, e aplicados ao score de maturidade apurado nesta rodada de assessment. Não constituem garantia de resultado, compromisso contratual, projeção auditada ou promessa de retorno por parte da Empresa Teste Maturidade IA ou da equipe de Blueprint IA. Resultados reais dependem de execução, contexto de mercado, decisões de investimento e fatores externos não contemplados neste modelo.</w:t>
      </w:r>
    </w:p>
    <w:p w14:paraId="03CF60C9"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4734560">
          <v:rect id="_x0000_i1055" alt="" style="width:425.2pt;height:.05pt;mso-width-percent:0;mso-height-percent:0;mso-width-percent:0;mso-height-percent:0" o:hralign="center" o:hrstd="t" o:hr="t" fillcolor="#a0a0a0" stroked="f"/>
        </w:pict>
      </w:r>
    </w:p>
    <w:p w14:paraId="45C0ABC0"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9. GOVERNANÇA E ESTRUTURA RECOMENDADA</w:t>
      </w:r>
    </w:p>
    <w:p w14:paraId="0B89CF74"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9.1 Estrutura Organizacional</w:t>
      </w:r>
    </w:p>
    <w:p w14:paraId="40E83B6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score consolidado de 2,31 — com Governança e Risco em 2,02 e ausência de CAIO ou equivalente formal (Q4, Estratégia: 2,09) — indica que a Empresa Teste Maturidade IA ainda opera IA de forma fragmentada, sem instância central de coordenação e accountability. A estrutura recomendada abaixo é calibrada para suportar a transição ao Nível 3 (MIT CISR: </w:t>
      </w:r>
      <w:r>
        <w:rPr>
          <w:rStyle w:val="nfase"/>
          <w:rFonts w:ascii="Calibri" w:hAnsi="Calibri" w:cs="Calibri"/>
          <w:color w:val="1E293B"/>
          <w:sz w:val="22"/>
          <w:szCs w:val="22"/>
        </w:rPr>
        <w:t>Develop AI Ways of Working</w:t>
      </w:r>
      <w:r>
        <w:rPr>
          <w:rFonts w:ascii="Calibri" w:hAnsi="Calibri" w:cs="Calibri"/>
          <w:color w:val="1E293B"/>
          <w:sz w:val="22"/>
          <w:szCs w:val="22"/>
        </w:rPr>
        <w:t>) nos próximos 18–24 meses, sem criar burocracia incompatível com a agilidade de uma empresa de tecnologia.</w:t>
      </w:r>
    </w:p>
    <w:p w14:paraId="283CBDD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Centro de Excelência de IA (CoE IA)</w:t>
      </w:r>
    </w:p>
    <w:p w14:paraId="3D4B6A2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CoE de IA é o núcleo operacional da governança. Sua função é </w:t>
      </w:r>
      <w:r>
        <w:rPr>
          <w:rStyle w:val="Forte"/>
          <w:rFonts w:ascii="Calibri" w:hAnsi="Calibri" w:cs="Calibri"/>
          <w:color w:val="1E293B"/>
          <w:sz w:val="22"/>
          <w:szCs w:val="22"/>
        </w:rPr>
        <w:t>eliminar o retrabalho entre squads</w:t>
      </w:r>
      <w:r>
        <w:rPr>
          <w:rFonts w:ascii="Calibri" w:hAnsi="Calibri" w:cs="Calibri"/>
          <w:color w:val="1E293B"/>
          <w:sz w:val="22"/>
          <w:szCs w:val="22"/>
        </w:rPr>
        <w:t xml:space="preserve">, industrializar capacidades (plataforma, MLOps, frameworks) e atuar como guardião de padrões técnicos e éticos. Para o porte e setor da Empresa Teste Maturidade IA, o modelo federado-leve descrito na Seção 9.2 posiciona o CoE como </w:t>
      </w:r>
      <w:r>
        <w:rPr>
          <w:rStyle w:val="Forte"/>
          <w:rFonts w:ascii="Calibri" w:hAnsi="Calibri" w:cs="Calibri"/>
          <w:color w:val="1E293B"/>
          <w:sz w:val="22"/>
          <w:szCs w:val="22"/>
        </w:rPr>
        <w:t>hub de referência</w:t>
      </w:r>
      <w:r>
        <w:rPr>
          <w:rFonts w:ascii="Calibri" w:hAnsi="Calibri" w:cs="Calibri"/>
          <w:color w:val="1E293B"/>
          <w:sz w:val="22"/>
          <w:szCs w:val="22"/>
        </w:rPr>
        <w:t>, não como centralizador de execução.</w:t>
      </w:r>
    </w:p>
    <w:tbl>
      <w:tblPr>
        <w:tblW w:w="5000" w:type="pct"/>
        <w:tblCellMar>
          <w:top w:w="15" w:type="dxa"/>
          <w:left w:w="15" w:type="dxa"/>
          <w:bottom w:w="15" w:type="dxa"/>
          <w:right w:w="15" w:type="dxa"/>
        </w:tblCellMar>
        <w:tblLook w:val="04A0" w:firstRow="1" w:lastRow="0" w:firstColumn="1" w:lastColumn="0" w:noHBand="0" w:noVBand="1"/>
      </w:tblPr>
      <w:tblGrid>
        <w:gridCol w:w="2406"/>
        <w:gridCol w:w="3988"/>
        <w:gridCol w:w="2094"/>
      </w:tblGrid>
      <w:tr w:rsidR="00000000" w14:paraId="4154647E" w14:textId="77777777">
        <w:trPr>
          <w:divId w:val="235551823"/>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134F301"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Papel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75B18B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Responsabilidade Principal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CD137B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Dedicação Recomendada</w:t>
            </w:r>
          </w:p>
        </w:tc>
      </w:tr>
      <w:tr w:rsidR="00000000" w14:paraId="1559DC90"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A001E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Chief AI Officer (CAIO) / Head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75C3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Visão estratégica, alinhamento C-Level, representação em comitês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D5062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Integral (1 FTE sênior)</w:t>
            </w:r>
          </w:p>
        </w:tc>
      </w:tr>
      <w:tr w:rsidR="00000000" w14:paraId="382E4B5C"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36F445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Platform Lead</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9DE1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Arquitetura da plataforma central, MLOps, padrões de deploy</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9DFC25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Integral (1 FTE)</w:t>
            </w:r>
          </w:p>
        </w:tc>
      </w:tr>
      <w:tr w:rsidR="00000000" w14:paraId="6E930AFB"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30DC92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Governance &amp; Risk Lead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EB015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Framework de governança, LGPD/NIST AI RMF, auditoria de modelos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9F191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Integral (1 FTE)</w:t>
            </w:r>
          </w:p>
        </w:tc>
      </w:tr>
      <w:tr w:rsidR="00000000" w14:paraId="65E320A9"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A1927C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ML Engineers (CoE)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18136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Desenvolvimento de componentes reutilizáveis, suporte a squads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0AC1D0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3–4 FTEs</w:t>
            </w:r>
          </w:p>
        </w:tc>
      </w:tr>
      <w:tr w:rsidR="00000000" w14:paraId="60DD7005"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568E24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Data Engineers (CoE)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BE0F9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Pipelines centrais, catálogo de dados, qualidade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D69047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 FTEs</w:t>
            </w:r>
          </w:p>
        </w:tc>
      </w:tr>
      <w:tr w:rsidR="00000000" w14:paraId="607A2E5A"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A1F566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Ethics Officer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F422D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Revisão de viés, explicabilidade, 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8E0BB3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0,5 FTE ou acumulado</w:t>
            </w:r>
          </w:p>
        </w:tc>
      </w:tr>
      <w:tr w:rsidR="00000000" w14:paraId="0AA4E51E" w14:textId="77777777">
        <w:trPr>
          <w:divId w:val="23555182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510D9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Product Manager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82F3A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Priorização de portfólio IA, métricas de valor, interface negócio-tech</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C953E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 FTE</w:t>
            </w:r>
          </w:p>
        </w:tc>
      </w:tr>
    </w:tbl>
    <w:p w14:paraId="72F670B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Comitê Executivo de IA (CE-IA)</w:t>
      </w:r>
    </w:p>
    <w:p w14:paraId="734ED48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Instância de deliberação estratégica, reunindo-se </w:t>
      </w:r>
      <w:r>
        <w:rPr>
          <w:rStyle w:val="Forte"/>
          <w:rFonts w:ascii="Calibri" w:hAnsi="Calibri" w:cs="Calibri"/>
          <w:color w:val="1E293B"/>
          <w:sz w:val="22"/>
          <w:szCs w:val="22"/>
        </w:rPr>
        <w:t>quinzenalmente</w:t>
      </w:r>
      <w:r>
        <w:rPr>
          <w:rFonts w:ascii="Calibri" w:hAnsi="Calibri" w:cs="Calibri"/>
          <w:color w:val="1E293B"/>
          <w:sz w:val="22"/>
          <w:szCs w:val="22"/>
        </w:rPr>
        <w:t xml:space="preserve"> nos primeiros 12 meses e mensalmente a partir do Nível 3. Composição mínima recomendada:</w:t>
      </w:r>
    </w:p>
    <w:tbl>
      <w:tblPr>
        <w:tblW w:w="5000" w:type="pct"/>
        <w:tblCellMar>
          <w:top w:w="15" w:type="dxa"/>
          <w:left w:w="15" w:type="dxa"/>
          <w:bottom w:w="15" w:type="dxa"/>
          <w:right w:w="15" w:type="dxa"/>
        </w:tblCellMar>
        <w:tblLook w:val="04A0" w:firstRow="1" w:lastRow="0" w:firstColumn="1" w:lastColumn="0" w:noHBand="0" w:noVBand="1"/>
      </w:tblPr>
      <w:tblGrid>
        <w:gridCol w:w="2828"/>
        <w:gridCol w:w="5660"/>
      </w:tblGrid>
      <w:tr w:rsidR="00000000" w14:paraId="554FAFA0" w14:textId="77777777">
        <w:trPr>
          <w:divId w:val="151568254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23C13C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Membro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5CFF0A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Papel no Comitê</w:t>
            </w:r>
          </w:p>
        </w:tc>
      </w:tr>
      <w:tr w:rsidR="00000000" w14:paraId="185807F7" w14:textId="77777777">
        <w:trPr>
          <w:divId w:val="151568254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D11641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CEO ou COO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F3AA85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Patrocinador executivo; voto de minerva em prioridades de portfólio</w:t>
            </w:r>
          </w:p>
        </w:tc>
      </w:tr>
      <w:tr w:rsidR="00000000" w14:paraId="11C9BD3B" w14:textId="77777777">
        <w:trPr>
          <w:divId w:val="151568254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4364E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CFO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276C75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Aprovação de orçamento, calibração de ROI, FinOps de IA</w:t>
            </w:r>
          </w:p>
        </w:tc>
      </w:tr>
      <w:tr w:rsidR="00000000" w14:paraId="4BF1D172" w14:textId="77777777">
        <w:trPr>
          <w:divId w:val="151568254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6D40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CTO / 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1502D9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técnica, arquitetura, segurança</w:t>
            </w:r>
          </w:p>
        </w:tc>
      </w:tr>
      <w:tr w:rsidR="00000000" w14:paraId="300E07FF" w14:textId="77777777">
        <w:trPr>
          <w:divId w:val="151568254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6FCE9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CAIO / Head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F8BC4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Secretaria executiva; apresentação de roadmap e resultados</w:t>
            </w:r>
          </w:p>
        </w:tc>
      </w:tr>
      <w:tr w:rsidR="00000000" w14:paraId="797CCFFE" w14:textId="77777777">
        <w:trPr>
          <w:divId w:val="151568254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5583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Heads de Unidades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B3D1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Representação das demandas setoriais; validação de casos de uso</w:t>
            </w:r>
          </w:p>
        </w:tc>
      </w:tr>
      <w:tr w:rsidR="00000000" w14:paraId="25486C54" w14:textId="77777777">
        <w:trPr>
          <w:divId w:val="151568254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44355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Jurídico / Compliance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7BE297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 LGPD, gestão de risco legal</w:t>
            </w:r>
          </w:p>
        </w:tc>
      </w:tr>
    </w:tbl>
    <w:p w14:paraId="6670A6A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Rede de AI Champions</w:t>
      </w:r>
    </w:p>
    <w:p w14:paraId="0AB67A90"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viabilizar o modelo federado (ver 9.2), cada unidade de negócio deve designar um </w:t>
      </w:r>
      <w:r>
        <w:rPr>
          <w:rStyle w:val="Forte"/>
          <w:rFonts w:ascii="Calibri" w:hAnsi="Calibri" w:cs="Calibri"/>
          <w:color w:val="1E293B"/>
          <w:sz w:val="22"/>
          <w:szCs w:val="22"/>
        </w:rPr>
        <w:t>AI Champion</w:t>
      </w:r>
      <w:r>
        <w:rPr>
          <w:rFonts w:ascii="Calibri" w:hAnsi="Calibri" w:cs="Calibri"/>
          <w:color w:val="1E293B"/>
          <w:sz w:val="22"/>
          <w:szCs w:val="22"/>
        </w:rPr>
        <w:t xml:space="preserve"> — profissional com perfil técnico-negócio, responsável por identificar oportunidades, acelerar a adoção local e ser o elo com o CoE. A dimensão </w:t>
      </w:r>
      <w:r>
        <w:rPr>
          <w:rStyle w:val="nfase"/>
          <w:rFonts w:ascii="Calibri" w:hAnsi="Calibri" w:cs="Calibri"/>
          <w:color w:val="1E293B"/>
          <w:sz w:val="22"/>
          <w:szCs w:val="22"/>
        </w:rPr>
        <w:t>Prontidão para Mudança</w:t>
      </w:r>
      <w:r>
        <w:rPr>
          <w:rFonts w:ascii="Calibri" w:hAnsi="Calibri" w:cs="Calibri"/>
          <w:color w:val="1E293B"/>
          <w:sz w:val="22"/>
          <w:szCs w:val="22"/>
        </w:rPr>
        <w:t xml:space="preserve"> (score 2,80, o ponto mais alto do assessment junto com Eficácia MIT) indica </w:t>
      </w:r>
      <w:r>
        <w:rPr>
          <w:rStyle w:val="Forte"/>
          <w:rFonts w:ascii="Calibri" w:hAnsi="Calibri" w:cs="Calibri"/>
          <w:color w:val="1E293B"/>
          <w:sz w:val="22"/>
          <w:szCs w:val="22"/>
        </w:rPr>
        <w:t>capacidade real de absorção</w:t>
      </w:r>
      <w:r>
        <w:rPr>
          <w:rFonts w:ascii="Calibri" w:hAnsi="Calibri" w:cs="Calibri"/>
          <w:color w:val="1E293B"/>
          <w:sz w:val="22"/>
          <w:szCs w:val="22"/>
        </w:rPr>
        <w:t xml:space="preserve"> para esse papel, especialmente considerando que liderança intermediária já apoia ativamente mudanças (Q7: 3,45).</w:t>
      </w:r>
    </w:p>
    <w:p w14:paraId="15889FA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3465E99">
          <v:rect id="_x0000_i1054" alt="" style="width:425.2pt;height:.05pt;mso-width-percent:0;mso-height-percent:0;mso-width-percent:0;mso-height-percent:0" o:hralign="center" o:hrstd="t" o:hr="t" fillcolor="#a0a0a0" stroked="f"/>
        </w:pict>
      </w:r>
    </w:p>
    <w:p w14:paraId="3560E1F8"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9.2 Modelo de Operação</w:t>
      </w:r>
    </w:p>
    <w:p w14:paraId="60C9B1F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Modelo Recomendado: Federado com Hub Central (Híbrido Leve)</w:t>
      </w:r>
    </w:p>
    <w:p w14:paraId="34BC7C5D"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Para a Empresa Teste Maturidade IA — empresa de tecnologia de grande porte com múltiplas unidades de negócio e score de Valor por Unidade de Negócio em 2,07 —, o modelo </w:t>
      </w:r>
      <w:r>
        <w:rPr>
          <w:rStyle w:val="Forte"/>
          <w:rFonts w:ascii="Calibri" w:hAnsi="Calibri" w:cs="Calibri"/>
          <w:color w:val="1E293B"/>
          <w:sz w:val="22"/>
          <w:szCs w:val="22"/>
        </w:rPr>
        <w:t>puramente centralizado</w:t>
      </w:r>
      <w:r>
        <w:rPr>
          <w:rFonts w:ascii="Calibri" w:hAnsi="Calibri" w:cs="Calibri"/>
          <w:color w:val="1E293B"/>
          <w:sz w:val="22"/>
          <w:szCs w:val="22"/>
        </w:rPr>
        <w:t xml:space="preserve"> criaria gargalos de priorização e distância do contexto de negócio. O modelo </w:t>
      </w:r>
      <w:r>
        <w:rPr>
          <w:rStyle w:val="Forte"/>
          <w:rFonts w:ascii="Calibri" w:hAnsi="Calibri" w:cs="Calibri"/>
          <w:color w:val="1E293B"/>
          <w:sz w:val="22"/>
          <w:szCs w:val="22"/>
        </w:rPr>
        <w:t>puramente descentralizado</w:t>
      </w:r>
      <w:r>
        <w:rPr>
          <w:rFonts w:ascii="Calibri" w:hAnsi="Calibri" w:cs="Calibri"/>
          <w:color w:val="1E293B"/>
          <w:sz w:val="22"/>
          <w:szCs w:val="22"/>
        </w:rPr>
        <w:t xml:space="preserve"> perpetuaria a fragmentação atual de dados, frameworks e padrões que deprime dimensões como Dados e Tecnologia (2,16) e Plataforma e Industrialização (2,14).</w:t>
      </w:r>
    </w:p>
    <w:p w14:paraId="3DFBC16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O </w:t>
      </w:r>
      <w:r>
        <w:rPr>
          <w:rStyle w:val="Forte"/>
          <w:rFonts w:ascii="Calibri" w:hAnsi="Calibri" w:cs="Calibri"/>
          <w:color w:val="1E293B"/>
          <w:sz w:val="22"/>
          <w:szCs w:val="22"/>
        </w:rPr>
        <w:t>modelo federado com hub central</w:t>
      </w:r>
      <w:r>
        <w:rPr>
          <w:rFonts w:ascii="Calibri" w:hAnsi="Calibri" w:cs="Calibri"/>
          <w:color w:val="1E293B"/>
          <w:sz w:val="22"/>
          <w:szCs w:val="22"/>
        </w:rPr>
        <w:t xml:space="preserve"> equilibra os dois polos:</w:t>
      </w:r>
    </w:p>
    <w:tbl>
      <w:tblPr>
        <w:tblW w:w="5000" w:type="pct"/>
        <w:tblCellMar>
          <w:top w:w="15" w:type="dxa"/>
          <w:left w:w="15" w:type="dxa"/>
          <w:bottom w:w="15" w:type="dxa"/>
          <w:right w:w="15" w:type="dxa"/>
        </w:tblCellMar>
        <w:tblLook w:val="04A0" w:firstRow="1" w:lastRow="0" w:firstColumn="1" w:lastColumn="0" w:noHBand="0" w:noVBand="1"/>
      </w:tblPr>
      <w:tblGrid>
        <w:gridCol w:w="2056"/>
        <w:gridCol w:w="4613"/>
        <w:gridCol w:w="1819"/>
      </w:tblGrid>
      <w:tr w:rsidR="00000000" w14:paraId="1440D091" w14:textId="77777777">
        <w:trPr>
          <w:divId w:val="223107457"/>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E370FB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Camada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162B90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Responsabilidade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360D10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Onde reside</w:t>
            </w:r>
          </w:p>
        </w:tc>
      </w:tr>
      <w:tr w:rsidR="00000000" w14:paraId="20B7038B" w14:textId="77777777">
        <w:trPr>
          <w:divId w:val="22310745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8E134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Hub (CoE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6868B6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MLOps, padrões, governança, componentes reutilizáveis, FinOps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29D89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CoE Central</w:t>
            </w:r>
          </w:p>
        </w:tc>
      </w:tr>
      <w:tr w:rsidR="00000000" w14:paraId="71C88BFE" w14:textId="77777777">
        <w:trPr>
          <w:divId w:val="223107457"/>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0FBB9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Federado (squads/UNs)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E9C96B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Casos de uso específicos, experimentação, feature engineering local, adoção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4F35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Unidades de Negócio</w:t>
            </w:r>
          </w:p>
        </w:tc>
      </w:tr>
      <w:tr w:rsidR="00000000" w14:paraId="5ACBEED3" w14:textId="77777777">
        <w:trPr>
          <w:divId w:val="223107457"/>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AF85D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Comitê CE-IA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9AD3DA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Portfólio, orçamento, conformidade, diretrizes éticas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23E9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Transversal</w:t>
            </w:r>
          </w:p>
        </w:tc>
      </w:tr>
    </w:tbl>
    <w:p w14:paraId="5C9600C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Justificativa setorial:</w:t>
      </w:r>
      <w:r>
        <w:rPr>
          <w:rFonts w:ascii="Calibri" w:hAnsi="Calibri" w:cs="Calibri"/>
          <w:color w:val="1E293B"/>
          <w:sz w:val="22"/>
          <w:szCs w:val="22"/>
        </w:rPr>
        <w:t xml:space="preserve"> empresas de tecnologia com perfil de consultoria e desenvolvimento de software (como a Empresa Teste Maturidade IA) produzem valor de IA tanto internamente (developer productivity, automação de QA) quanto externamente (produtos e serviços de IA para clientes). O hub central garante que os ativos técnicos criados em um cliente ou projeto possam ser reutilizados em outros — mecanismo central para elevar o ROI marginal ao Nível 3 — enquanto a federação preserva a autonomia das squads para experimentar e entregar rapidamente.</w:t>
      </w:r>
    </w:p>
    <w:p w14:paraId="01A889E5"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adoção gradual é recomendada: </w:t>
      </w:r>
      <w:r>
        <w:rPr>
          <w:rStyle w:val="Forte"/>
          <w:rFonts w:ascii="Calibri" w:hAnsi="Calibri" w:cs="Calibri"/>
          <w:color w:val="1E293B"/>
          <w:sz w:val="22"/>
          <w:szCs w:val="22"/>
        </w:rPr>
        <w:t>meses 1–6</w:t>
      </w:r>
      <w:r>
        <w:rPr>
          <w:rFonts w:ascii="Calibri" w:hAnsi="Calibri" w:cs="Calibri"/>
          <w:color w:val="1E293B"/>
          <w:sz w:val="22"/>
          <w:szCs w:val="22"/>
        </w:rPr>
        <w:t xml:space="preserve">, o CoE opera como grupo de competência com 4–6 pessoas; </w:t>
      </w:r>
      <w:r>
        <w:rPr>
          <w:rStyle w:val="Forte"/>
          <w:rFonts w:ascii="Calibri" w:hAnsi="Calibri" w:cs="Calibri"/>
          <w:color w:val="1E293B"/>
          <w:sz w:val="22"/>
          <w:szCs w:val="22"/>
        </w:rPr>
        <w:t>meses 7–18</w:t>
      </w:r>
      <w:r>
        <w:rPr>
          <w:rFonts w:ascii="Calibri" w:hAnsi="Calibri" w:cs="Calibri"/>
          <w:color w:val="1E293B"/>
          <w:sz w:val="22"/>
          <w:szCs w:val="22"/>
        </w:rPr>
        <w:t xml:space="preserve">, expande para hub pleno com plataforma ativa; </w:t>
      </w:r>
      <w:r>
        <w:rPr>
          <w:rStyle w:val="Forte"/>
          <w:rFonts w:ascii="Calibri" w:hAnsi="Calibri" w:cs="Calibri"/>
          <w:color w:val="1E293B"/>
          <w:sz w:val="22"/>
          <w:szCs w:val="22"/>
        </w:rPr>
        <w:t>a partir do mês 19</w:t>
      </w:r>
      <w:r>
        <w:rPr>
          <w:rFonts w:ascii="Calibri" w:hAnsi="Calibri" w:cs="Calibri"/>
          <w:color w:val="1E293B"/>
          <w:sz w:val="22"/>
          <w:szCs w:val="22"/>
        </w:rPr>
        <w:t>, o modelo federado se consolida com AI Champions operando de forma autônoma dentro dos padrões estabelecidos.</w:t>
      </w:r>
    </w:p>
    <w:p w14:paraId="39BEC12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CD806DE">
          <v:rect id="_x0000_i1053" alt="" style="width:425.2pt;height:.05pt;mso-width-percent:0;mso-height-percent:0;mso-width-percent:0;mso-height-percent:0" o:hralign="center" o:hrstd="t" o:hr="t" fillcolor="#a0a0a0" stroked="f"/>
        </w:pict>
      </w:r>
    </w:p>
    <w:p w14:paraId="6603C589"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9.3 Políticas Mínimas</w:t>
      </w:r>
    </w:p>
    <w:p w14:paraId="39BE0711"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As quatro políticas abaixo constituem o </w:t>
      </w:r>
      <w:r>
        <w:rPr>
          <w:rStyle w:val="Forte"/>
          <w:rFonts w:ascii="Calibri" w:hAnsi="Calibri" w:cs="Calibri"/>
          <w:color w:val="1E293B"/>
          <w:sz w:val="22"/>
          <w:szCs w:val="22"/>
        </w:rPr>
        <w:t>piso regulatório e operacional</w:t>
      </w:r>
      <w:r>
        <w:rPr>
          <w:rFonts w:ascii="Calibri" w:hAnsi="Calibri" w:cs="Calibri"/>
          <w:color w:val="1E293B"/>
          <w:sz w:val="22"/>
          <w:szCs w:val="22"/>
        </w:rPr>
        <w:t xml:space="preserve"> indispensável para que a Empresa Teste Maturidade IA avance ao Nível 3 com sustentabilidade. O score de Conformidade Regulatória (1,58 — gap crítico #1) torna a formalização dessas políticas uma prioridade de curto prazo, não uma aspiração de longo prazo.</w:t>
      </w:r>
    </w:p>
    <w:p w14:paraId="4A21D90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Política de Ética em IA (AI Ethics Policy)</w:t>
      </w:r>
    </w:p>
    <w:p w14:paraId="0F90218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Deve cobrir: (a) princípios de uso responsável — não discriminação, transparência, privacidade by design; (b) classificação de sistemas de IA por nível de risco (baixo / médio / alto), alinhada ao vocabulário do EU AI Act e ao NIST AI RMF; (c) processo de revisão ética obrigatório antes do deploy de modelos de nível médio ou alto; (d) canais de contestação para colaboradores e clientes afetados por decisões automatizadas. Para uma empresa de tecnologia que desenvolve soluções de IA para terceiros, esta política também deve cobrir </w:t>
      </w:r>
      <w:r>
        <w:rPr>
          <w:rStyle w:val="Forte"/>
          <w:rFonts w:ascii="Calibri" w:hAnsi="Calibri" w:cs="Calibri"/>
          <w:color w:val="1E293B"/>
          <w:sz w:val="22"/>
          <w:szCs w:val="22"/>
        </w:rPr>
        <w:t>obrigações contratuais</w:t>
      </w:r>
      <w:r>
        <w:rPr>
          <w:rFonts w:ascii="Calibri" w:hAnsi="Calibri" w:cs="Calibri"/>
          <w:color w:val="1E293B"/>
          <w:sz w:val="22"/>
          <w:szCs w:val="22"/>
        </w:rPr>
        <w:t xml:space="preserve"> repassadas a clientes finais.</w:t>
      </w:r>
    </w:p>
    <w:p w14:paraId="27626001"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Política de Governança de Dados (Data Governance Policy)</w:t>
      </w:r>
    </w:p>
    <w:p w14:paraId="0409CFCC"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Diante do score de Dados e Tecnologia em 2,16 (catálogo centralizado: 2,00; qualidade: 2,38), a política deve estabelecer: (a) definição de Data Owners e Data Stewards por domínio; (b) requisitos mínimos de qualidade (completude ≥ 95%, acurácia ≥ 98%) para dados usados em modelos de produção; (c) processos de catalogação obrigatória (Data Catalog integrado ao Playbook Atlas — módulo </w:t>
      </w:r>
      <w:r>
        <w:rPr>
          <w:rStyle w:val="nfase"/>
          <w:rFonts w:ascii="Calibri" w:hAnsi="Calibri" w:cs="Calibri"/>
          <w:color w:val="1E293B"/>
          <w:sz w:val="22"/>
          <w:szCs w:val="22"/>
        </w:rPr>
        <w:t>Data Mesh Blueprint</w:t>
      </w:r>
      <w:r>
        <w:rPr>
          <w:rFonts w:ascii="Calibri" w:hAnsi="Calibri" w:cs="Calibri"/>
          <w:color w:val="1E293B"/>
          <w:sz w:val="22"/>
          <w:szCs w:val="22"/>
        </w:rPr>
        <w:t>); (d) retenção, mascaramento e pseudonimização alinhados à LGPD; (e) SLA de atualização de dados para modelos críticos.</w:t>
      </w:r>
    </w:p>
    <w:p w14:paraId="077578E3"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Política de Gestão de Riscos em IA (AI Risk Management Policy)</w:t>
      </w:r>
    </w:p>
    <w:p w14:paraId="40AB63A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Fundamentada no </w:t>
      </w:r>
      <w:r>
        <w:rPr>
          <w:rStyle w:val="Forte"/>
          <w:rFonts w:ascii="Calibri" w:hAnsi="Calibri" w:cs="Calibri"/>
          <w:color w:val="1E293B"/>
          <w:sz w:val="22"/>
          <w:szCs w:val="22"/>
        </w:rPr>
        <w:t>NIST AI RMF</w:t>
      </w:r>
      <w:r>
        <w:rPr>
          <w:rFonts w:ascii="Calibri" w:hAnsi="Calibri" w:cs="Calibri"/>
          <w:color w:val="1E293B"/>
          <w:sz w:val="22"/>
          <w:szCs w:val="22"/>
        </w:rPr>
        <w:t xml:space="preserve"> (funções: Govern, Map, Measure, Manage), deve endereçar: (a) registro centralizado de modelos em produção com classificação de criticidade; (b) análise de risco obrigatória pré-deploy (viés, deriva de dados, falhas de segurança, impacto regulatório); (c) planos de contingência e rollback documentados; (d) revisão periódica de risco para modelos de alto impacto (mínimo semestral). O score de Governança e Risco (2,02) reflete ausência de processo sistemático de identificação de vieses (Q4: 1,80) e auditoria irregular (Q6: 1,90) — esta política opera diretamente sobre esses pontos cegos.</w:t>
      </w:r>
    </w:p>
    <w:p w14:paraId="0A1AA037"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Política de Ciclo de Vida de Modelos (Model Lifecycle Policy)</w:t>
      </w:r>
    </w:p>
    <w:p w14:paraId="3A81075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Suportada por práticas de </w:t>
      </w:r>
      <w:r>
        <w:rPr>
          <w:rStyle w:val="Forte"/>
          <w:rFonts w:ascii="Calibri" w:hAnsi="Calibri" w:cs="Calibri"/>
          <w:color w:val="1E293B"/>
          <w:sz w:val="22"/>
          <w:szCs w:val="22"/>
        </w:rPr>
        <w:t>MLOps</w:t>
      </w:r>
      <w:r>
        <w:rPr>
          <w:rFonts w:ascii="Calibri" w:hAnsi="Calibri" w:cs="Calibri"/>
          <w:color w:val="1E293B"/>
          <w:sz w:val="22"/>
          <w:szCs w:val="22"/>
        </w:rPr>
        <w:t xml:space="preserve"> (score atual 1,89 em ferramentas de MLOps), a política deve cobrir as fases: (a) </w:t>
      </w:r>
      <w:r>
        <w:rPr>
          <w:rStyle w:val="nfase"/>
          <w:rFonts w:ascii="Calibri" w:hAnsi="Calibri" w:cs="Calibri"/>
          <w:color w:val="1E293B"/>
          <w:sz w:val="22"/>
          <w:szCs w:val="22"/>
        </w:rPr>
        <w:t>Development</w:t>
      </w:r>
      <w:r>
        <w:rPr>
          <w:rFonts w:ascii="Calibri" w:hAnsi="Calibri" w:cs="Calibri"/>
          <w:color w:val="1E293B"/>
          <w:sz w:val="22"/>
          <w:szCs w:val="22"/>
        </w:rPr>
        <w:t xml:space="preserve"> — padrões de versionamento de dados, código e modelos (ex.: MLflow, DVC); (b) </w:t>
      </w:r>
      <w:r>
        <w:rPr>
          <w:rStyle w:val="nfase"/>
          <w:rFonts w:ascii="Calibri" w:hAnsi="Calibri" w:cs="Calibri"/>
          <w:color w:val="1E293B"/>
          <w:sz w:val="22"/>
          <w:szCs w:val="22"/>
        </w:rPr>
        <w:t>Validation</w:t>
      </w:r>
      <w:r>
        <w:rPr>
          <w:rFonts w:ascii="Calibri" w:hAnsi="Calibri" w:cs="Calibri"/>
          <w:color w:val="1E293B"/>
          <w:sz w:val="22"/>
          <w:szCs w:val="22"/>
        </w:rPr>
        <w:t xml:space="preserve"> — critérios mínimos de acurácia, fairness e latência para aprovação; (c) </w:t>
      </w:r>
      <w:r>
        <w:rPr>
          <w:rStyle w:val="nfase"/>
          <w:rFonts w:ascii="Calibri" w:hAnsi="Calibri" w:cs="Calibri"/>
          <w:color w:val="1E293B"/>
          <w:sz w:val="22"/>
          <w:szCs w:val="22"/>
        </w:rPr>
        <w:t>Deployment</w:t>
      </w:r>
      <w:r>
        <w:rPr>
          <w:rFonts w:ascii="Calibri" w:hAnsi="Calibri" w:cs="Calibri"/>
          <w:color w:val="1E293B"/>
          <w:sz w:val="22"/>
          <w:szCs w:val="22"/>
        </w:rPr>
        <w:t xml:space="preserve"> — pipeline CI/CD com aprovação de governança para modelos de médio/alto risco; (d) </w:t>
      </w:r>
      <w:r>
        <w:rPr>
          <w:rStyle w:val="nfase"/>
          <w:rFonts w:ascii="Calibri" w:hAnsi="Calibri" w:cs="Calibri"/>
          <w:color w:val="1E293B"/>
          <w:sz w:val="22"/>
          <w:szCs w:val="22"/>
        </w:rPr>
        <w:t>Monitoring</w:t>
      </w:r>
      <w:r>
        <w:rPr>
          <w:rFonts w:ascii="Calibri" w:hAnsi="Calibri" w:cs="Calibri"/>
          <w:color w:val="1E293B"/>
          <w:sz w:val="22"/>
          <w:szCs w:val="22"/>
        </w:rPr>
        <w:t xml:space="preserve"> — alertas automáticos de data drift e model drift, SLA de resposta; (e) </w:t>
      </w:r>
      <w:r>
        <w:rPr>
          <w:rStyle w:val="nfase"/>
          <w:rFonts w:ascii="Calibri" w:hAnsi="Calibri" w:cs="Calibri"/>
          <w:color w:val="1E293B"/>
          <w:sz w:val="22"/>
          <w:szCs w:val="22"/>
        </w:rPr>
        <w:t>Retirement</w:t>
      </w:r>
      <w:r>
        <w:rPr>
          <w:rFonts w:ascii="Calibri" w:hAnsi="Calibri" w:cs="Calibri"/>
          <w:color w:val="1E293B"/>
          <w:sz w:val="22"/>
          <w:szCs w:val="22"/>
        </w:rPr>
        <w:t xml:space="preserve"> — critérios de desativação e arquivamento. O Playbook Atlas oferece o acelerador </w:t>
      </w:r>
      <w:r>
        <w:rPr>
          <w:rStyle w:val="nfase"/>
          <w:rFonts w:ascii="Calibri" w:hAnsi="Calibri" w:cs="Calibri"/>
          <w:color w:val="1E293B"/>
          <w:sz w:val="22"/>
          <w:szCs w:val="22"/>
        </w:rPr>
        <w:t>MLOps Pipeline Blueprint</w:t>
      </w:r>
      <w:r>
        <w:rPr>
          <w:rFonts w:ascii="Calibri" w:hAnsi="Calibri" w:cs="Calibri"/>
          <w:color w:val="1E293B"/>
          <w:sz w:val="22"/>
          <w:szCs w:val="22"/>
        </w:rPr>
        <w:t xml:space="preserve"> com componentes pré-configurados para as fases (a)–(e), reduzindo o tempo de implementação em até 60%.</w:t>
      </w:r>
    </w:p>
    <w:p w14:paraId="030378A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9F17250">
          <v:rect id="_x0000_i1052" alt="" style="width:425.2pt;height:.05pt;mso-width-percent:0;mso-height-percent:0;mso-width-percent:0;mso-height-percent:0" o:hralign="center" o:hrstd="t" o:hr="t" fillcolor="#a0a0a0" stroked="f"/>
        </w:pict>
      </w:r>
    </w:p>
    <w:p w14:paraId="3737CB80"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10. RISCOS E MITIGAÇÕES</w:t>
      </w:r>
    </w:p>
    <w:p w14:paraId="7286AF8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tabela abaixo consolida os </w:t>
      </w:r>
      <w:r>
        <w:rPr>
          <w:rStyle w:val="Forte"/>
          <w:rFonts w:ascii="Calibri" w:hAnsi="Calibri" w:cs="Calibri"/>
          <w:color w:val="1E293B"/>
          <w:sz w:val="22"/>
          <w:szCs w:val="22"/>
        </w:rPr>
        <w:t>Top 10 Riscos</w:t>
      </w:r>
      <w:r>
        <w:rPr>
          <w:rFonts w:ascii="Calibri" w:hAnsi="Calibri" w:cs="Calibri"/>
          <w:color w:val="1E293B"/>
          <w:sz w:val="22"/>
          <w:szCs w:val="22"/>
        </w:rPr>
        <w:t xml:space="preserve"> identificados a partir da combinação entre os gaps críticos do assessment (Conformidade Regulatória 1,58; Operações 1,98; Governança 2,02), os scores por pergunta e o contexto setorial de tecnologia/consultoria de IA. Probabilidade e impacto são avaliados na </w:t>
      </w:r>
      <w:r>
        <w:rPr>
          <w:rStyle w:val="Forte"/>
          <w:rFonts w:ascii="Calibri" w:hAnsi="Calibri" w:cs="Calibri"/>
          <w:color w:val="1E293B"/>
          <w:sz w:val="22"/>
          <w:szCs w:val="22"/>
        </w:rPr>
        <w:t>janela de 12 meses</w:t>
      </w:r>
      <w:r>
        <w:rPr>
          <w:rFonts w:ascii="Calibri" w:hAnsi="Calibri" w:cs="Calibri"/>
          <w:color w:val="1E293B"/>
          <w:sz w:val="22"/>
          <w:szCs w:val="22"/>
        </w:rPr>
        <w:t>, sem intervenção adicional além do estado atual.</w:t>
      </w:r>
    </w:p>
    <w:tbl>
      <w:tblPr>
        <w:tblW w:w="5000" w:type="pct"/>
        <w:tblCellMar>
          <w:top w:w="15" w:type="dxa"/>
          <w:left w:w="15" w:type="dxa"/>
          <w:bottom w:w="15" w:type="dxa"/>
          <w:right w:w="15" w:type="dxa"/>
        </w:tblCellMar>
        <w:tblLook w:val="04A0" w:firstRow="1" w:lastRow="0" w:firstColumn="1" w:lastColumn="0" w:noHBand="0" w:noVBand="1"/>
      </w:tblPr>
      <w:tblGrid>
        <w:gridCol w:w="732"/>
        <w:gridCol w:w="1964"/>
        <w:gridCol w:w="1618"/>
        <w:gridCol w:w="1117"/>
        <w:gridCol w:w="1904"/>
        <w:gridCol w:w="2140"/>
      </w:tblGrid>
      <w:tr w:rsidR="00000000" w14:paraId="15D24566" w14:textId="77777777">
        <w:trPr>
          <w:divId w:val="171029733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408266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7B63A5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Risco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4E8541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Probabilidade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FF01E8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Impacto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9CFDEC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Estratégia de Mitigação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6A2924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Owner</w:t>
            </w:r>
          </w:p>
        </w:tc>
      </w:tr>
      <w:tr w:rsidR="00000000" w14:paraId="2CEF2BBF"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BD15D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FBFDB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Exposição regulatória (LGPD / EU AI Act):</w:t>
            </w:r>
            <w:r>
              <w:rPr>
                <w:rFonts w:ascii="Calibri" w:eastAsia="Times New Roman" w:hAnsi="Calibri" w:cs="Calibri"/>
                <w:color w:val="1E293B"/>
                <w:sz w:val="21"/>
                <w:szCs w:val="21"/>
              </w:rPr>
              <w:t xml:space="preserve"> modelos em produção sem documentação de conformidade, explicabilidade ou base legal para tratamento de dados pessoais, gerando autuações e perda de contratos com clientes europeus ou regulados.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417E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79F85C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Crítico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DDB74A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Implementar política de conformidade regulatória (Seção 9.3); mapear todos os modelos ativos contra LGPD e NIST AI RMF nos primeiros 60 dias; envolver área jurídica em novos projetos de IA (score Q8 Conformidade: 1,33 → meta 3,0 em 6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185E8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CAIO + Jurídico/Compliance</w:t>
            </w:r>
          </w:p>
        </w:tc>
      </w:tr>
      <w:tr w:rsidR="00000000" w14:paraId="4BFE24D9"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E6E1BE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131146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Deriva de modelos sem detecção (Model Drift):</w:t>
            </w:r>
            <w:r>
              <w:rPr>
                <w:rFonts w:ascii="Calibri" w:eastAsia="Times New Roman" w:hAnsi="Calibri" w:cs="Calibri"/>
                <w:color w:val="1E293B"/>
                <w:sz w:val="21"/>
                <w:szCs w:val="21"/>
              </w:rPr>
              <w:t xml:space="preserve"> ausência de monitoramento sistemático de performance (SLA de modelos: 1,78; monitoramento em produção: 1,78) pode levar a modelos degradados entregando resultados incorretos a clientes sem que a organização perceba.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2E8A92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AD3E8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450F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xml:space="preserve">Ativar pipeline de monitoramento com alertas automáticos de data drift e acurácia (Playbook Atlas — </w:t>
            </w:r>
            <w:r>
              <w:rPr>
                <w:rStyle w:val="nfase"/>
                <w:rFonts w:ascii="Calibri" w:eastAsia="Times New Roman" w:hAnsi="Calibri" w:cs="Calibri"/>
                <w:color w:val="1E293B"/>
                <w:sz w:val="21"/>
                <w:szCs w:val="21"/>
              </w:rPr>
              <w:t>MLOps Monitoring Blueprint</w:t>
            </w:r>
            <w:r>
              <w:rPr>
                <w:rFonts w:ascii="Calibri" w:eastAsia="Times New Roman" w:hAnsi="Calibri" w:cs="Calibri"/>
                <w:color w:val="1E293B"/>
                <w:sz w:val="21"/>
                <w:szCs w:val="21"/>
              </w:rPr>
              <w:t>); definir SLA de modelo para cada aplicação crítica; meta: 100% dos modelos Nível Médio/Alto monitorados em 90 dias.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5E19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Platform Lead + ML Engineers</w:t>
            </w:r>
          </w:p>
        </w:tc>
      </w:tr>
      <w:tr w:rsidR="00000000" w14:paraId="413B0548"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D86C4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BFAD2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Dependência de talentos-chave sem sucessão:</w:t>
            </w:r>
            <w:r>
              <w:rPr>
                <w:rFonts w:ascii="Calibri" w:eastAsia="Times New Roman" w:hAnsi="Calibri" w:cs="Calibri"/>
                <w:color w:val="1E293B"/>
                <w:sz w:val="21"/>
                <w:szCs w:val="21"/>
              </w:rPr>
              <w:t xml:space="preserve"> turnover de IA acima da média de mercado (Q8 Talentos: 3,11 — sinal de alerta) combinado com ausência de plano de carreira (Q4 Pessoas: 1,57) e gap de senioridade (Q5 Talentos: 2,11) cria risco de perda de conhecimento tácito crítico.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6269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6E17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C8C08A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Formalizar plano de carreira para trilha de IA em 90 dias; implementar programa de knowledge management (documentação de modelos, runbooks, decision logs); criar política de retenção diferenciada para sêniores e especialistas.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334876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CHRO + CAIO</w:t>
            </w:r>
          </w:p>
        </w:tc>
      </w:tr>
      <w:tr w:rsidR="00000000" w14:paraId="29A5903A"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046820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BF755C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Fragmentação de dados sem catálogo centralizado:</w:t>
            </w:r>
            <w:r>
              <w:rPr>
                <w:rFonts w:ascii="Calibri" w:eastAsia="Times New Roman" w:hAnsi="Calibri" w:cs="Calibri"/>
                <w:color w:val="1E293B"/>
                <w:sz w:val="21"/>
                <w:szCs w:val="21"/>
              </w:rPr>
              <w:t xml:space="preserve"> score de catálogo de dados em 2,00 e ausência de Data Owners formais elevam o risco de projetos de IA consumindo dados inconsistentes ou desatualizados, comprometendo acurácia e auditabilidade.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A3A5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003FF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BA1ADF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xml:space="preserve">Implementar Data Catalog com módulo </w:t>
            </w:r>
            <w:r>
              <w:rPr>
                <w:rStyle w:val="nfase"/>
                <w:rFonts w:ascii="Calibri" w:eastAsia="Times New Roman" w:hAnsi="Calibri" w:cs="Calibri"/>
                <w:color w:val="1E293B"/>
                <w:sz w:val="21"/>
                <w:szCs w:val="21"/>
              </w:rPr>
              <w:t>Data Mesh Blueprint</w:t>
            </w:r>
            <w:r>
              <w:rPr>
                <w:rFonts w:ascii="Calibri" w:eastAsia="Times New Roman" w:hAnsi="Calibri" w:cs="Calibri"/>
                <w:color w:val="1E293B"/>
                <w:sz w:val="21"/>
                <w:szCs w:val="21"/>
              </w:rPr>
              <w:t xml:space="preserve"> (Playbook Atlas) nos primeiros 6 meses; designar Data Stewards por domínio; meta: ≥ 80% dos conjuntos de dados usados em IA catalogados em 12 meses.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49B6CB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Governance Lead + Data Engineers</w:t>
            </w:r>
          </w:p>
        </w:tc>
      </w:tr>
      <w:tr w:rsidR="00000000" w14:paraId="5569AE05"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F9AD75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242F48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Ausência de ROI mensurável para IA:</w:t>
            </w:r>
            <w:r>
              <w:rPr>
                <w:rFonts w:ascii="Calibri" w:eastAsia="Times New Roman" w:hAnsi="Calibri" w:cs="Calibri"/>
                <w:color w:val="1E293B"/>
                <w:sz w:val="21"/>
                <w:szCs w:val="21"/>
              </w:rPr>
              <w:t xml:space="preserve"> score de modelo de medição de ROI em 2,00 e retorno médio em 1,50 indicam que projetos de IA não têm baseline financeiro, criando risco de cancelamento por falta de justificativa executiva no ciclo orçamentário.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AB98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F5806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4C7B3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Implementar framework de medição de valor (MIT CISR Value Scorecard + FinOps de IA); estabelecer baseline para cada projeto ativo em 60 dias; comunicar ROI ao CE-IA trimestralmente.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1FA7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Product Manager + CFO</w:t>
            </w:r>
          </w:p>
        </w:tc>
      </w:tr>
      <w:tr w:rsidR="00000000" w14:paraId="431AC701"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45CB7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9B38F2"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Pilotos não escalonados (Pilot Purgatory):</w:t>
            </w:r>
            <w:r>
              <w:rPr>
                <w:rFonts w:ascii="Calibri" w:eastAsia="Times New Roman" w:hAnsi="Calibri" w:cs="Calibri"/>
                <w:color w:val="1E293B"/>
                <w:sz w:val="21"/>
                <w:szCs w:val="21"/>
              </w:rPr>
              <w:t xml:space="preserve"> score de processo para escalar experimentos em 2,38 e volume baixo de PoCs por ano (Q7 Plataforma: 1,88) indicam risco sistêmico de iniciativas de IA nunca saírem do laboratório, desperdiçando investimento sem retorno operacional.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FE475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8BFE8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B052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Definir critérios de escalonamento (Stage-Gate) com thresholds de acurácia, impacto financeiro e viabilidade técnica; designar AI Product Manager para cada piloto com potencial; meta: taxa de conversão piloto→produção ≥ 40% em 12 meses.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24DF0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CAIO + AI Product Manager</w:t>
            </w:r>
          </w:p>
        </w:tc>
      </w:tr>
      <w:tr w:rsidR="00000000" w14:paraId="7F6F153F"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513A7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83DD86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Viés algorítmico em produtos entregues a clientes:</w:t>
            </w:r>
            <w:r>
              <w:rPr>
                <w:rFonts w:ascii="Calibri" w:eastAsia="Times New Roman" w:hAnsi="Calibri" w:cs="Calibri"/>
                <w:color w:val="1E293B"/>
                <w:sz w:val="21"/>
                <w:szCs w:val="21"/>
              </w:rPr>
              <w:t xml:space="preserve"> score de processos de identificação e mitigação de viés em 1,80 e ausência de documentação de explicabilidade (Q5 Conformidade: 1,83) expõem a Empresa Teste Maturidade IA a responsabilidade contratual e reputacional por modelos discriminatórios entregues a clientes.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A3BF2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FE9564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Crítico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59F6E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Incluir análise de fairness obrigatória no pipeline de desenvolvimento (ferramentas: IBM AI Fairness 360, SHAP/LIME para explicabilidade); criar checklist de viés como portão de aprovação pré-deploy; treinar engenheiros de ML em ética aplicada.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068CC3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Ethics Officer + ML Engineers</w:t>
            </w:r>
          </w:p>
        </w:tc>
      </w:tr>
      <w:tr w:rsidR="00000000" w14:paraId="34A1EF57"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8F05C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0DE635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Segurança de dados em ambientes de IA generativa:</w:t>
            </w:r>
            <w:r>
              <w:rPr>
                <w:rFonts w:ascii="Calibri" w:eastAsia="Times New Roman" w:hAnsi="Calibri" w:cs="Calibri"/>
                <w:color w:val="1E293B"/>
                <w:sz w:val="21"/>
                <w:szCs w:val="21"/>
              </w:rPr>
              <w:t xml:space="preserve"> score de IA Generativa em 2,88 (acima da média) indica uso crescente de LLMs, com risco de vazamento de dados confidenciais de clientes via prompts, fine-tuning com dados não autorizados ou uso de APIs públicas sem controles de privacidade.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E94C5B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7296B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Crítico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30BB7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Implementar política de uso de LLMs (allowlist de modelos aprovados, proibição de dados pessoais em prompts externos, contratos DPA com fornecedores de IA); criar sandbox isolado para GenAI com monitoramento de prompts; meta: política publicada em 45 dias.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905F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CISO + AI Governance Lead</w:t>
            </w:r>
          </w:p>
        </w:tc>
      </w:tr>
      <w:tr w:rsidR="00000000" w14:paraId="520A9FE4"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67AA1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R09</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F4BA6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Falta de alinhamento entre UNs e estratégia central de IA:</w:t>
            </w:r>
            <w:r>
              <w:rPr>
                <w:rFonts w:ascii="Calibri" w:eastAsia="Times New Roman" w:hAnsi="Calibri" w:cs="Calibri"/>
                <w:color w:val="1E293B"/>
                <w:sz w:val="21"/>
                <w:szCs w:val="21"/>
              </w:rPr>
              <w:t xml:space="preserve"> score de Valor por Unidade de Negócio em 2,07 (Q2 métricas específicas: 1,60; Q3 priorização: 1,80) gera risco de cada unidade de negócio desenvolver IA de forma autônoma e desalinhada, duplicando esforços e criando débito técnico distribuído.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A0B6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832A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FD4FE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Implementar modelo federado com hub central (Seção 9.2); designar AI Champions por unidade em 60 dias; realizar workshop de alinhamento de portfólio de IA por UN trimestralmente; meta: ≥ 4 UNs com roadmap de IA próprio validado pelo CE-IA em 12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7EE74F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CAIO + Heads de UNs</w:t>
            </w:r>
          </w:p>
        </w:tc>
      </w:tr>
      <w:tr w:rsidR="00000000" w14:paraId="62A0BDE7" w14:textId="77777777">
        <w:trPr>
          <w:divId w:val="171029733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A4DE7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R10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F6957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Obsolescência tecnológica acelerada:</w:t>
            </w:r>
            <w:r>
              <w:rPr>
                <w:rFonts w:ascii="Calibri" w:eastAsia="Times New Roman" w:hAnsi="Calibri" w:cs="Calibri"/>
                <w:color w:val="1E293B"/>
                <w:sz w:val="21"/>
                <w:szCs w:val="21"/>
              </w:rPr>
              <w:t xml:space="preserve"> score de IA Agêntica em 3,13 e acompanhamento de novas tecnologias em 2,63 indicam consciência do mercado, mas a ausência de roadmap por tipo de IA (Q6 Maturidade: 2,00) e padronização de frameworks (2,38) cria risco de escolhas tecnológicas que se tornam legado em 18–24 meses, aumentando custo de manutenção.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DD14FE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Baixa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1F2F79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Alto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110DE7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xml:space="preserve">Estabelecer processo semestral de Technology Radar para IA (modelo ThoughtWorks adaptado); incluir critério de longevidade tecnológica no Stage-Gate de novos projetos; designar responsável por </w:t>
            </w:r>
            <w:r>
              <w:rPr>
                <w:rStyle w:val="nfase"/>
                <w:rFonts w:ascii="Calibri" w:eastAsia="Times New Roman" w:hAnsi="Calibri" w:cs="Calibri"/>
                <w:color w:val="1E293B"/>
                <w:sz w:val="21"/>
                <w:szCs w:val="21"/>
              </w:rPr>
              <w:t>AI Technology Watch</w:t>
            </w:r>
            <w:r>
              <w:rPr>
                <w:rFonts w:ascii="Calibri" w:eastAsia="Times New Roman" w:hAnsi="Calibri" w:cs="Calibri"/>
                <w:color w:val="1E293B"/>
                <w:sz w:val="21"/>
                <w:szCs w:val="21"/>
              </w:rPr>
              <w:t xml:space="preserve"> no CoE; referenciar Playbook Atlas para componentes com ciclo de vida monitorado.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F33D5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Platform Lead + CAIO</w:t>
            </w:r>
          </w:p>
        </w:tc>
      </w:tr>
    </w:tbl>
    <w:p w14:paraId="4BA2245A" w14:textId="77777777" w:rsidR="00000000" w:rsidRDefault="00000000">
      <w:pPr>
        <w:pStyle w:val="NormalWeb"/>
        <w:shd w:val="clear" w:color="auto" w:fill="FAF5FF"/>
        <w:spacing w:before="0" w:beforeAutospacing="0" w:after="120" w:afterAutospacing="0"/>
        <w:divId w:val="1118841282"/>
        <w:rPr>
          <w:rFonts w:ascii="Calibri" w:hAnsi="Calibri" w:cs="Calibri"/>
          <w:i/>
          <w:iCs/>
          <w:color w:val="581C87"/>
          <w:sz w:val="22"/>
          <w:szCs w:val="22"/>
        </w:rPr>
      </w:pPr>
      <w:r>
        <w:rPr>
          <w:rStyle w:val="Forte"/>
          <w:rFonts w:ascii="Calibri" w:hAnsi="Calibri" w:cs="Calibri"/>
          <w:i/>
          <w:iCs/>
          <w:color w:val="581C87"/>
          <w:sz w:val="22"/>
          <w:szCs w:val="22"/>
        </w:rPr>
        <w:t>Nota de leitura:</w:t>
      </w:r>
      <w:r>
        <w:rPr>
          <w:rFonts w:ascii="Calibri" w:hAnsi="Calibri" w:cs="Calibri"/>
          <w:i/>
          <w:iCs/>
          <w:color w:val="581C87"/>
          <w:sz w:val="22"/>
          <w:szCs w:val="22"/>
        </w:rPr>
        <w:t xml:space="preserve"> Probabilidade e Impacto avaliam o cenário </w:t>
      </w:r>
      <w:r>
        <w:rPr>
          <w:rStyle w:val="Forte"/>
          <w:rFonts w:ascii="Calibri" w:hAnsi="Calibri" w:cs="Calibri"/>
          <w:i/>
          <w:iCs/>
          <w:color w:val="581C87"/>
          <w:sz w:val="22"/>
          <w:szCs w:val="22"/>
        </w:rPr>
        <w:t>sem intervenção adicional</w:t>
      </w:r>
      <w:r>
        <w:rPr>
          <w:rFonts w:ascii="Calibri" w:hAnsi="Calibri" w:cs="Calibri"/>
          <w:i/>
          <w:iCs/>
          <w:color w:val="581C87"/>
          <w:sz w:val="22"/>
          <w:szCs w:val="22"/>
        </w:rPr>
        <w:t xml:space="preserve"> no horizonte de 12 meses a partir desta rodada de assessment. A implementação das estratégias de mitigação descritas nas Seções 9 e no roadmap de 90 dias (Seção 12) reduz materialmente a probabilidade dos riscos R01, R02, R04 e R07 dentro de 6 meses.</w:t>
      </w:r>
    </w:p>
    <w:p w14:paraId="26597DF1"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11. KPIs ESTRATÉGICOS (DASHBOARD EXECUTIVO)</w:t>
      </w:r>
    </w:p>
    <w:p w14:paraId="524159F2"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Este dashboard consolida os indicadores-chave de desempenho para acompanhar a jornada da Empresa Teste Maturidade IA do estágio atual (Nível 2 — Oportunista/Preparando, score 2,31) em direção ao Nível 3 do MIT CISR Enterprise AI Maturity Model. As metas de 6 e 12 meses são calibradas sobre o investimento de referência de R$ 3.000.000/ano e o retorno esperado de R$ 3.600.000 (1,8% × R$ 200 milhões de faturamento), com múltiplos de ROI no cenário-base de 1,06×. Todos os KPIs são passíveis de rastreamento trimestral pelo comitê executivo de IA.</w:t>
      </w:r>
    </w:p>
    <w:p w14:paraId="3024792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0D6B958">
          <v:rect id="_x0000_i1051" alt="" style="width:425.2pt;height:.05pt;mso-width-percent:0;mso-height-percent:0;mso-width-percent:0;mso-height-percent:0" o:hralign="center" o:hrstd="t" o:hr="t" fillcolor="#a0a0a0" stroked="f"/>
        </w:pict>
      </w:r>
    </w:p>
    <w:p w14:paraId="02477CCC"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11.1 KPIs de Negócio</w:t>
      </w:r>
    </w:p>
    <w:p w14:paraId="0B8B4C1E"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Os indicadores abaixo medem o impacto direto das iniciativas de IA no desempenho comercial e operacional da Empresa Teste Maturidade IA. O contexto setorial (tech/serviços) orienta o foco em produtividade de engenharia, aceleração de entrega e experiência do cliente — áreas onde a empresa já exibe potencial (score de Eficácia MIT CISR: 2,84 e Prontidão para Mudança: 2,80).</w:t>
      </w:r>
    </w:p>
    <w:tbl>
      <w:tblPr>
        <w:tblW w:w="5000" w:type="pct"/>
        <w:tblCellMar>
          <w:top w:w="15" w:type="dxa"/>
          <w:left w:w="15" w:type="dxa"/>
          <w:bottom w:w="15" w:type="dxa"/>
          <w:right w:w="15" w:type="dxa"/>
        </w:tblCellMar>
        <w:tblLook w:val="04A0" w:firstRow="1" w:lastRow="0" w:firstColumn="1" w:lastColumn="0" w:noHBand="0" w:noVBand="1"/>
      </w:tblPr>
      <w:tblGrid>
        <w:gridCol w:w="1985"/>
        <w:gridCol w:w="1944"/>
        <w:gridCol w:w="1654"/>
        <w:gridCol w:w="1654"/>
        <w:gridCol w:w="1654"/>
      </w:tblGrid>
      <w:tr w:rsidR="00000000" w14:paraId="74D8F22E" w14:textId="77777777">
        <w:trPr>
          <w:divId w:val="897125942"/>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9F3E29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C493EA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Definição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0F4411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571D55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B12371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ABD939A" w14:textId="77777777">
        <w:trPr>
          <w:divId w:val="89712594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CFB3B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Receita incremental por iniciativa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2E47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Receita nova ou preservada diretamente atribuída a produtos/serviços habilitados por IA (ex.: AIaaS, automações vendidas a clientes)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27E9E4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~R$ 1.200.000/ano (≈ 0,6% faturamento — estimativa conservadora pelo score 2,37 em "IA como Receita")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8B5C9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R$ 2.000.000/ano (+67%)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6AFEC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R$ 3.600.000/ano (+200% vs. baseline — alinhado ao percentual de referência de 1,8% do faturamento)</w:t>
            </w:r>
          </w:p>
        </w:tc>
      </w:tr>
      <w:tr w:rsidR="00000000" w14:paraId="7859DA7E" w14:textId="77777777">
        <w:trPr>
          <w:divId w:val="89712594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5D45D5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Custo operacional evitado com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F0D25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Redução mensurável em custos de processos (retrabalho, horas manuais, suporte) via automação e modelos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675AB3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~R$ 400.000/ano (score Operações: 1,98 — automação incipiente)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B36A2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R$ 800.000/ano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A0A4D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R$ 1.500.000/ano</w:t>
            </w:r>
          </w:p>
        </w:tc>
      </w:tr>
      <w:tr w:rsidR="00000000" w14:paraId="62B20000" w14:textId="77777777">
        <w:trPr>
          <w:divId w:val="89712594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A20116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NPS de produtos/serviços com IA embarcada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B4973F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Net Promoter Score de clientes que utilizam soluções Empresa Teste Maturidade IA com componentes de IA (score Eficácia — Experiência do Cliente: 3,0)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BF29DC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NPS estimado em 32 (linha base a levantar no 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9AB27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NPS 40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BDE97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NPS 50</w:t>
            </w:r>
          </w:p>
        </w:tc>
      </w:tr>
      <w:tr w:rsidR="00000000" w14:paraId="1059F39D" w14:textId="77777777">
        <w:trPr>
          <w:divId w:val="897125942"/>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1B6D96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Time-to-Market de novas funcionalidades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EBE9F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médio entre ideação e lançamento de funcionalidade baseada em IA para cliente final (score Plataforma: 2,14 — deploy em dias ainda não consolidado)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1FBD65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~90 dias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5A939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60 dias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EDC9C0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30 dias</w:t>
            </w:r>
          </w:p>
        </w:tc>
      </w:tr>
      <w:tr w:rsidR="00000000" w14:paraId="37C26C86" w14:textId="77777777">
        <w:trPr>
          <w:divId w:val="897125942"/>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E37D5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Percentual de contratos com cláusula de valor em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34B578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Proporção de novos contratos comerciais que incluem entregáveis ou SLAs relacionados a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68C9D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&lt; 10% (estimativa pelo score IA como Receita: 2,37)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B148F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DDA2F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40%</w:t>
            </w:r>
          </w:p>
        </w:tc>
      </w:tr>
    </w:tbl>
    <w:p w14:paraId="38CA156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F2EC306">
          <v:rect id="_x0000_i1050" alt="" style="width:425.2pt;height:.05pt;mso-width-percent:0;mso-height-percent:0;mso-width-percent:0;mso-height-percent:0" o:hralign="center" o:hrstd="t" o:hr="t" fillcolor="#a0a0a0" stroked="f"/>
        </w:pict>
      </w:r>
    </w:p>
    <w:p w14:paraId="3BA36675"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11.2 KPIs Técnicos (DORA + MLOps)</w:t>
      </w:r>
    </w:p>
    <w:p w14:paraId="069E7B2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Empresa Teste Maturidade IA apresenta lacunas relevantes na dimensão de Operações e Processos (1,98) e em MLOps dentro de Dados e Tecnologia (Q3: 1,89 — ferramentas de CI/CD). Os indicadores a seguir traduzem as metas de aceleração técnica em métricas rastreáveis segundo o framework </w:t>
      </w:r>
      <w:r>
        <w:rPr>
          <w:rStyle w:val="Forte"/>
          <w:rFonts w:ascii="Calibri" w:hAnsi="Calibri" w:cs="Calibri"/>
          <w:color w:val="1E293B"/>
          <w:sz w:val="22"/>
          <w:szCs w:val="22"/>
        </w:rPr>
        <w:t>DORA Metrics</w:t>
      </w:r>
      <w:r>
        <w:rPr>
          <w:rFonts w:ascii="Calibri" w:hAnsi="Calibri" w:cs="Calibri"/>
          <w:color w:val="1E293B"/>
          <w:sz w:val="22"/>
          <w:szCs w:val="22"/>
        </w:rPr>
        <w:t xml:space="preserve"> (DevOps Research &amp; Assessment) e as práticas de </w:t>
      </w:r>
      <w:r>
        <w:rPr>
          <w:rStyle w:val="Forte"/>
          <w:rFonts w:ascii="Calibri" w:hAnsi="Calibri" w:cs="Calibri"/>
          <w:color w:val="1E293B"/>
          <w:sz w:val="22"/>
          <w:szCs w:val="22"/>
        </w:rPr>
        <w:t>MLOps</w:t>
      </w:r>
      <w:r>
        <w:rPr>
          <w:rFonts w:ascii="Calibri" w:hAnsi="Calibri" w:cs="Calibri"/>
          <w:color w:val="1E293B"/>
          <w:sz w:val="22"/>
          <w:szCs w:val="22"/>
        </w:rPr>
        <w:t xml:space="preserve"> (versionamento, monitoramento, drift detection).</w:t>
      </w:r>
    </w:p>
    <w:tbl>
      <w:tblPr>
        <w:tblW w:w="5000" w:type="pct"/>
        <w:tblCellMar>
          <w:top w:w="15" w:type="dxa"/>
          <w:left w:w="15" w:type="dxa"/>
          <w:bottom w:w="15" w:type="dxa"/>
          <w:right w:w="15" w:type="dxa"/>
        </w:tblCellMar>
        <w:tblLook w:val="04A0" w:firstRow="1" w:lastRow="0" w:firstColumn="1" w:lastColumn="0" w:noHBand="0" w:noVBand="1"/>
      </w:tblPr>
      <w:tblGrid>
        <w:gridCol w:w="1635"/>
        <w:gridCol w:w="2012"/>
        <w:gridCol w:w="1811"/>
        <w:gridCol w:w="1509"/>
        <w:gridCol w:w="1521"/>
      </w:tblGrid>
      <w:tr w:rsidR="00000000" w14:paraId="45F79715" w14:textId="77777777">
        <w:trPr>
          <w:divId w:val="990526096"/>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8E69F0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26F4A3A"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Definição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27F4A8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85A93A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5E0390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11AC3C3C" w14:textId="77777777">
        <w:trPr>
          <w:divId w:val="99052609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66BD18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Lead Time for Changes (ML)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152EEA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médio do commit de código/modelo até produção — adaptação DORA para pipelines de ML (score Deploy Contínuo: 2,22)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59A741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 dias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164F7D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7 dias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983D5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3 dias</w:t>
            </w:r>
          </w:p>
        </w:tc>
      </w:tr>
      <w:tr w:rsidR="00000000" w14:paraId="7D1241F0" w14:textId="77777777">
        <w:trPr>
          <w:divId w:val="99052609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78F8B9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Deploy Frequency (modelos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8EABF6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Número de deploys de modelos novos ou atualizados por mês em ambiente produtivo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BD97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 deploys/mês (estimativa score Plataforma Q4: 2,75)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7B34B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 deploys/mês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5A16E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 deploys/mês (≥ 3/semana)</w:t>
            </w:r>
          </w:p>
        </w:tc>
      </w:tr>
      <w:tr w:rsidR="00000000" w14:paraId="5DAB2C11" w14:textId="77777777">
        <w:trPr>
          <w:divId w:val="99052609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78819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MTTR — Mean Time to Recovery (modelos)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A10127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médio para restaurar modelo ao SLA após incidente ou degradação (score SLA: 1,78 — crítico)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5A110D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&gt; 48 horas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0F9E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24 horas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4686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 horas</w:t>
            </w:r>
          </w:p>
        </w:tc>
      </w:tr>
      <w:tr w:rsidR="00000000" w14:paraId="32EFF72C" w14:textId="77777777">
        <w:trPr>
          <w:divId w:val="99052609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AC65F3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Change Failure Rate (ML pipeline)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40A9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deploys de modelos que causam degradação de performance ou rollback (score Monitoramento: 1,78)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6C328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~30%</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7E4AE2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15%</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FACF4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5%</w:t>
            </w:r>
          </w:p>
        </w:tc>
      </w:tr>
      <w:tr w:rsidR="00000000" w14:paraId="7C754C18" w14:textId="77777777">
        <w:trPr>
          <w:divId w:val="99052609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AEA14F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Model Drift Rate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34557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modelos em produção com data drift ou concept drift detectado acima do threshold definido, sem alerta automático ativo (score Auditoria: 1,90)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BEFC5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~70% dos modelos sem monitoramento ativo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E2533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40% sem cobertura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1A0449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10% sem cobertura</w:t>
            </w:r>
          </w:p>
        </w:tc>
      </w:tr>
      <w:tr w:rsidR="00000000" w14:paraId="1978DB49" w14:textId="77777777">
        <w:trPr>
          <w:divId w:val="99052609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AF527B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Time-to-Production (experimento →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0235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médio desde aprovação de PoC até modelo servindo tráfego real (score Plataforma Q7: 1,88 — PoCs ainda baixo volume)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D055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~120 dias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71C9C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60 dias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57558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21 dias</w:t>
            </w:r>
          </w:p>
        </w:tc>
      </w:tr>
    </w:tbl>
    <w:p w14:paraId="4C813EAF" w14:textId="77777777" w:rsidR="00000000" w:rsidRDefault="00000000">
      <w:pPr>
        <w:pStyle w:val="NormalWeb"/>
        <w:shd w:val="clear" w:color="auto" w:fill="FAF5FF"/>
        <w:spacing w:before="0" w:beforeAutospacing="0" w:after="120" w:afterAutospacing="0"/>
        <w:divId w:val="1258322107"/>
        <w:rPr>
          <w:rFonts w:ascii="Calibri" w:hAnsi="Calibri" w:cs="Calibri"/>
          <w:i/>
          <w:iCs/>
          <w:color w:val="581C87"/>
          <w:sz w:val="22"/>
          <w:szCs w:val="22"/>
        </w:rPr>
      </w:pPr>
      <w:r>
        <w:rPr>
          <w:rStyle w:val="Forte"/>
          <w:rFonts w:ascii="Calibri" w:hAnsi="Calibri" w:cs="Calibri"/>
          <w:i/>
          <w:iCs/>
          <w:color w:val="581C87"/>
          <w:sz w:val="22"/>
          <w:szCs w:val="22"/>
        </w:rPr>
        <w:t>Nota de implementação:</w:t>
      </w:r>
      <w:r>
        <w:rPr>
          <w:rFonts w:ascii="Calibri" w:hAnsi="Calibri" w:cs="Calibri"/>
          <w:i/>
          <w:iCs/>
          <w:color w:val="581C87"/>
          <w:sz w:val="22"/>
          <w:szCs w:val="22"/>
        </w:rPr>
        <w:t xml:space="preserve"> A aceleração destes KPIs é condicionada à adoção de uma plataforma centralizada de MLOps (referenciada no </w:t>
      </w:r>
      <w:r>
        <w:rPr>
          <w:rStyle w:val="Forte"/>
          <w:rFonts w:ascii="Calibri" w:hAnsi="Calibri" w:cs="Calibri"/>
          <w:i/>
          <w:iCs/>
          <w:color w:val="581C87"/>
          <w:sz w:val="22"/>
          <w:szCs w:val="22"/>
        </w:rPr>
        <w:t>Playbook Atlas</w:t>
      </w:r>
      <w:r>
        <w:rPr>
          <w:rFonts w:ascii="Calibri" w:hAnsi="Calibri" w:cs="Calibri"/>
          <w:i/>
          <w:iCs/>
          <w:color w:val="581C87"/>
          <w:sz w:val="22"/>
          <w:szCs w:val="22"/>
        </w:rPr>
        <w:t xml:space="preserve"> — componentes: </w:t>
      </w:r>
      <w:r>
        <w:rPr>
          <w:rStyle w:val="nfase"/>
          <w:rFonts w:ascii="Calibri" w:hAnsi="Calibri" w:cs="Calibri"/>
          <w:color w:val="581C87"/>
          <w:sz w:val="22"/>
          <w:szCs w:val="22"/>
        </w:rPr>
        <w:t>ML Pipeline Orchestrator</w:t>
      </w:r>
      <w:r>
        <w:rPr>
          <w:rFonts w:ascii="Calibri" w:hAnsi="Calibri" w:cs="Calibri"/>
          <w:i/>
          <w:iCs/>
          <w:color w:val="581C87"/>
          <w:sz w:val="22"/>
          <w:szCs w:val="22"/>
        </w:rPr>
        <w:t xml:space="preserve">, </w:t>
      </w:r>
      <w:r>
        <w:rPr>
          <w:rStyle w:val="nfase"/>
          <w:rFonts w:ascii="Calibri" w:hAnsi="Calibri" w:cs="Calibri"/>
          <w:color w:val="581C87"/>
          <w:sz w:val="22"/>
          <w:szCs w:val="22"/>
        </w:rPr>
        <w:t>Model Registry</w:t>
      </w:r>
      <w:r>
        <w:rPr>
          <w:rFonts w:ascii="Calibri" w:hAnsi="Calibri" w:cs="Calibri"/>
          <w:i/>
          <w:iCs/>
          <w:color w:val="581C87"/>
          <w:sz w:val="22"/>
          <w:szCs w:val="22"/>
        </w:rPr>
        <w:t xml:space="preserve">, </w:t>
      </w:r>
      <w:r>
        <w:rPr>
          <w:rStyle w:val="nfase"/>
          <w:rFonts w:ascii="Calibri" w:hAnsi="Calibri" w:cs="Calibri"/>
          <w:color w:val="581C87"/>
          <w:sz w:val="22"/>
          <w:szCs w:val="22"/>
        </w:rPr>
        <w:t>Drift Monitor Agent</w:t>
      </w:r>
      <w:r>
        <w:rPr>
          <w:rFonts w:ascii="Calibri" w:hAnsi="Calibri" w:cs="Calibri"/>
          <w:i/>
          <w:iCs/>
          <w:color w:val="581C87"/>
          <w:sz w:val="22"/>
          <w:szCs w:val="22"/>
        </w:rPr>
        <w:t>). O target de 12 meses para MTTR ≤ 4h requer SLA de modelo formalmente definido em contrato operacional interno — ação prioritária dado o score atual de 1,78 em SLA.</w:t>
      </w:r>
    </w:p>
    <w:p w14:paraId="154E9E2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31B0BC2">
          <v:rect id="_x0000_i1049" alt="" style="width:425.2pt;height:.05pt;mso-width-percent:0;mso-height-percent:0;mso-width-percent:0;mso-height-percent:0" o:hralign="center" o:hrstd="t" o:hr="t" fillcolor="#a0a0a0" stroked="f"/>
        </w:pict>
      </w:r>
    </w:p>
    <w:p w14:paraId="04156109"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11.3 KPIs Financeiros (FinOps)</w:t>
      </w:r>
    </w:p>
    <w:p w14:paraId="43385236"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dimensão de Valor de Negócio e ROI (2,53) indica percepção crescente de impacto, mas a mensuração ainda é informal (Q1 ROI model: 2,0; Q2 retorno médio: 1,5). A disciplina </w:t>
      </w:r>
      <w:r>
        <w:rPr>
          <w:rStyle w:val="Forte"/>
          <w:rFonts w:ascii="Calibri" w:hAnsi="Calibri" w:cs="Calibri"/>
          <w:color w:val="1E293B"/>
          <w:sz w:val="22"/>
          <w:szCs w:val="22"/>
        </w:rPr>
        <w:t>FinOps aplicada a IA</w:t>
      </w:r>
      <w:r>
        <w:rPr>
          <w:rFonts w:ascii="Calibri" w:hAnsi="Calibri" w:cs="Calibri"/>
          <w:color w:val="1E293B"/>
          <w:sz w:val="22"/>
          <w:szCs w:val="22"/>
        </w:rPr>
        <w:t xml:space="preserve"> — controle granular de custo por inferência, por modelo e por caso de uso — é pré-requisito para sustentar o investimento de R$ 3.000.000/ano com retorno demonstrável ao board. O múltiplo base de 1,06× deve evoluir para a faixa de Nível 3 (ROI médio 200% sobre investimento em IA) à medida que a plataforma escala.</w:t>
      </w:r>
    </w:p>
    <w:tbl>
      <w:tblPr>
        <w:tblW w:w="5000" w:type="pct"/>
        <w:tblCellMar>
          <w:top w:w="15" w:type="dxa"/>
          <w:left w:w="15" w:type="dxa"/>
          <w:bottom w:w="15" w:type="dxa"/>
          <w:right w:w="15" w:type="dxa"/>
        </w:tblCellMar>
        <w:tblLook w:val="04A0" w:firstRow="1" w:lastRow="0" w:firstColumn="1" w:lastColumn="0" w:noHBand="0" w:noVBand="1"/>
      </w:tblPr>
      <w:tblGrid>
        <w:gridCol w:w="1275"/>
        <w:gridCol w:w="1765"/>
        <w:gridCol w:w="2221"/>
        <w:gridCol w:w="1648"/>
        <w:gridCol w:w="1579"/>
      </w:tblGrid>
      <w:tr w:rsidR="00000000" w14:paraId="50A13D5A" w14:textId="77777777">
        <w:trPr>
          <w:divId w:val="342976443"/>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2B6C771"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90E347C"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Definição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1004B3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3536D55"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0296074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5ACD634E" w14:textId="77777777">
        <w:trPr>
          <w:divId w:val="34297644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BB7F6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Custo por inferência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812D3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Custo médio unitário de execução de um modelo em produção (compute + storage + API calls), por requisição processada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5078F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mensurado formalmente (score Plataforma Q8: 1,63)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B3D1D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Baseline estabelecido e publicado no dashboard FinOps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9A0C0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Redução de 20% vs. baseline por otimização de batching e model compression</w:t>
            </w:r>
          </w:p>
        </w:tc>
      </w:tr>
      <w:tr w:rsidR="00000000" w14:paraId="7D2D7766" w14:textId="77777777">
        <w:trPr>
          <w:divId w:val="34297644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4678899"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Custo total por modelo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2F0003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TCO mensal por modelo: infra, licenças, manutenção, monitoramento e time dedicado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45256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rastreado por modelo (estimativa: R$ 25.000–80.000/modelo/mês)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B7ED8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Inventário completo de modelos com custo unitário mapeado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22128F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xml:space="preserve">Custo médio por modelo reduzido em 15% via reuso de componentes (Playbook Atlas: </w:t>
            </w:r>
            <w:r>
              <w:rPr>
                <w:rStyle w:val="nfase"/>
                <w:rFonts w:ascii="Calibri" w:eastAsia="Times New Roman" w:hAnsi="Calibri" w:cs="Calibri"/>
                <w:color w:val="1E293B"/>
                <w:sz w:val="21"/>
                <w:szCs w:val="21"/>
              </w:rPr>
              <w:t>Shared Model Serving Layer</w:t>
            </w:r>
            <w:r>
              <w:rPr>
                <w:rFonts w:ascii="Calibri" w:eastAsia="Times New Roman" w:hAnsi="Calibri" w:cs="Calibri"/>
                <w:color w:val="1E293B"/>
                <w:sz w:val="21"/>
                <w:szCs w:val="21"/>
              </w:rPr>
              <w:t>)</w:t>
            </w:r>
          </w:p>
        </w:tc>
      </w:tr>
      <w:tr w:rsidR="00000000" w14:paraId="20F4528B" w14:textId="77777777">
        <w:trPr>
          <w:divId w:val="34297644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4A850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ROI por caso de uso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9DD686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Retorno líquido (benefício financeiro − custo total) dividido pelo custo, por iniciativa individual de IA (score Q2 ROI: 1,5 — metodologia ausente)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FC21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ROI apurado em &lt; 20% dos casos de uso ativos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9CEC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ROI apurado em ≥ 60% dos casos de uso com benefício &gt; R$ 100.000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35907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ROI apurado em 100% dos casos de uso; portfólio com ROI médio ≥ 1,06× (cenário base) evoluindo para ≥ 1,53× (cenário agressivo)</w:t>
            </w:r>
          </w:p>
        </w:tc>
      </w:tr>
      <w:tr w:rsidR="00000000" w14:paraId="178BBD12" w14:textId="77777777">
        <w:trPr>
          <w:divId w:val="342976443"/>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0F572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CapEx vs. OpEx em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F8EE63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Proporção entre investimento de capital (plataforma, treinamento de modelos próprios) e despesa operacional (APIs externas, cloud inference)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2248D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segregado formalmente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650FB7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Segregação contábil IA implementada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CB76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CapEx ≤ 40% / OpEx ≥ 60% — maximizando flexibilidade e controle de escala</w:t>
            </w:r>
          </w:p>
        </w:tc>
      </w:tr>
      <w:tr w:rsidR="00000000" w14:paraId="2484A21A" w14:textId="77777777">
        <w:trPr>
          <w:divId w:val="342976443"/>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E12438"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Custo de aquisição de dado (CAD)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37598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Custo médio para ingerir, limpar e disponibilizar 1 TB de dado novo para consumo por modelos de IA (score Catálogo: 2,0)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4725A1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Não rastreado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F6500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Baseline estabelecido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6A42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Redução de 25% via automação de pipelines de ingestão</w:t>
            </w:r>
          </w:p>
        </w:tc>
      </w:tr>
    </w:tbl>
    <w:p w14:paraId="0F4B953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0E12E61B">
          <v:rect id="_x0000_i1048" alt="" style="width:425.2pt;height:.05pt;mso-width-percent:0;mso-height-percent:0;mso-width-percent:0;mso-height-percent:0" o:hralign="center" o:hrstd="t" o:hr="t" fillcolor="#a0a0a0" stroked="f"/>
        </w:pict>
      </w:r>
    </w:p>
    <w:p w14:paraId="61A91E2C"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11.4 KPIs de Pessoas</w:t>
      </w:r>
    </w:p>
    <w:p w14:paraId="2FF77619"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Com o maior score dentre as cinco forças da Empresa Teste Maturidade IA (Pessoas e Cultura: 2,71; Prontidão para Mudança: 2,80), a dimensão humana é a principal alavanca de aceleração disponível no curto prazo. Os KPIs abaixo monitoram a conversão desta prontidão em capacidade operacional real — endereçando diretamente os gaps identificados em Talentos (2,10) e Plano de Carreira para IA (Q4: 1,57).</w:t>
      </w:r>
    </w:p>
    <w:tbl>
      <w:tblPr>
        <w:tblW w:w="5000" w:type="pct"/>
        <w:tblCellMar>
          <w:top w:w="15" w:type="dxa"/>
          <w:left w:w="15" w:type="dxa"/>
          <w:bottom w:w="15" w:type="dxa"/>
          <w:right w:w="15" w:type="dxa"/>
        </w:tblCellMar>
        <w:tblLook w:val="04A0" w:firstRow="1" w:lastRow="0" w:firstColumn="1" w:lastColumn="0" w:noHBand="0" w:noVBand="1"/>
      </w:tblPr>
      <w:tblGrid>
        <w:gridCol w:w="2185"/>
        <w:gridCol w:w="1752"/>
        <w:gridCol w:w="1681"/>
        <w:gridCol w:w="1555"/>
        <w:gridCol w:w="1462"/>
      </w:tblGrid>
      <w:tr w:rsidR="00000000" w14:paraId="53B72A32" w14:textId="77777777">
        <w:trPr>
          <w:divId w:val="2028670701"/>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37A571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KPI</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476B645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Definição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DF65CA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Baseline (atual)</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F4CC808"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6 meses</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FA2CD9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Meta 12 meses</w:t>
            </w:r>
          </w:p>
        </w:tc>
      </w:tr>
      <w:tr w:rsidR="00000000" w14:paraId="4A5F37AE" w14:textId="77777777">
        <w:trPr>
          <w:divId w:val="202867070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DAAD7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colaboradores com certificação ou trilha de IA concluída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3E48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Proporção do quadro total que completou ao menos uma trilha formal de IA (fundamentos, prompting, MLOps, AI ethics) — score Capacitação: 2,78</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46CC0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 (estimativa baseada no score e porte "grande")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177A5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BD2C7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60%</w:t>
            </w:r>
          </w:p>
        </w:tc>
      </w:tr>
      <w:tr w:rsidR="00000000" w14:paraId="79AF6F23" w14:textId="77777777">
        <w:trPr>
          <w:divId w:val="202867070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E7EA5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 de times de produto/engenharia com AI assistance ativa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17286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Squads/tribos que utilizam pelo menos uma ferramenta de IA generativa no workflow diário (ex.: GitHub Copilot, code review automatizado, geração de testes) — contexto tech/developer productivity</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752AB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 dos times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1F3A2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50% dos times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A010C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80% dos times</w:t>
            </w:r>
          </w:p>
        </w:tc>
      </w:tr>
      <w:tr w:rsidR="00000000" w14:paraId="03961D12" w14:textId="77777777">
        <w:trPr>
          <w:divId w:val="202867070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A47864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Adoption Rate de ferramentas de IA internas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4F82A1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Taxa de uso ativo (DAU/MAU ≥ 40%) das ferramentas de IA disponibilizadas internamente — score Satisfação usuários internos: 2,71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F73805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DAU/MAU estimado em ~22%</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0F1DC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DAU/MAU ≥ 35%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F5965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DAU/MAU ≥ 50%</w:t>
            </w:r>
          </w:p>
        </w:tc>
      </w:tr>
      <w:tr w:rsidR="00000000" w14:paraId="3FC7AF24" w14:textId="77777777">
        <w:trPr>
          <w:divId w:val="202867070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0E5E041"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Índice de AI Champions ativos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DD8F7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Número de colaboradores formalmente designados como agentes de mudança ou champions de IA por área (score Rede de Champions: 2,64)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79FAE8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~4–6 champions identificados informalmente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3F84E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 champion por área/unidade (estimativa: 8–10 ativos)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7F1514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Rede estruturada de 20+ champions com rituais mensais de comunidade de prática</w:t>
            </w:r>
          </w:p>
        </w:tc>
      </w:tr>
      <w:tr w:rsidR="00000000" w14:paraId="14CA976E" w14:textId="77777777">
        <w:trPr>
          <w:divId w:val="2028670701"/>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A96C13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Taxa de retenção da equipe core de IA (12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7EF2E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profissionais de IA (Data Scientists, ML Engineers, MLOps) retidos no período — score Turnover: 3,11 (ponto positivo relativo)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5389F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~75% de retenção (inferência pelo score 3,11 em contexto de mercado aquecido)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8560FF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80%</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8AFA14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85% — com plano de carreira estruturado (score atual Q4: 1,57 → ação crítica)</w:t>
            </w:r>
          </w:p>
        </w:tc>
      </w:tr>
      <w:tr w:rsidR="00000000" w14:paraId="5E24356F" w14:textId="77777777">
        <w:trPr>
          <w:divId w:val="2028670701"/>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B2015C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Horas de upskilling em IA per capita (equipe técnica)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EF48D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Média de horas anuais de treinamento formal em IA por colaborador técnico (score Upskilling: 2,33)</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EC9E4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~16h/ano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483E6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40h/ano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8EECE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80h/ano (alinhado a referências de empresas Nível 3 MIT CISR)</w:t>
            </w:r>
          </w:p>
        </w:tc>
      </w:tr>
    </w:tbl>
    <w:p w14:paraId="2E22CE66"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12. APÊNDICES</w:t>
      </w:r>
    </w:p>
    <w:p w14:paraId="0854E830"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Apêndice A — Glossário de Termos</w:t>
      </w:r>
    </w:p>
    <w:tbl>
      <w:tblPr>
        <w:tblW w:w="5000" w:type="pct"/>
        <w:tblCellMar>
          <w:top w:w="15" w:type="dxa"/>
          <w:left w:w="15" w:type="dxa"/>
          <w:bottom w:w="15" w:type="dxa"/>
          <w:right w:w="15" w:type="dxa"/>
        </w:tblCellMar>
        <w:tblLook w:val="04A0" w:firstRow="1" w:lastRow="0" w:firstColumn="1" w:lastColumn="0" w:noHBand="0" w:noVBand="1"/>
      </w:tblPr>
      <w:tblGrid>
        <w:gridCol w:w="1979"/>
        <w:gridCol w:w="6509"/>
      </w:tblGrid>
      <w:tr w:rsidR="00000000" w14:paraId="638E22DB" w14:textId="77777777">
        <w:trPr>
          <w:divId w:val="318392220"/>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C5C37B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Termo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8D1CC0F"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Definição</w:t>
            </w:r>
          </w:p>
        </w:tc>
      </w:tr>
      <w:tr w:rsidR="00000000" w14:paraId="1A3F042B"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DC095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Maturity Model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A6044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Framework estruturado para avaliar o nível de adoção, governança e eficácia de Inteligência Artificial em uma organização, dividido em estágios progressivos de capacidade. No contexto deste book, referencia o MIT CISR Enterprise AI Maturity Model (quatro estágios) como âncora qualitativa.</w:t>
            </w:r>
          </w:p>
        </w:tc>
      </w:tr>
      <w:tr w:rsidR="00000000" w14:paraId="5183B67A"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E8FA15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IA Agêntica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72D578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Categoria de IA em que sistemas autônomos (agentes) percebem o ambiente, planejam ações e executam tarefas de forma encadeada, com mínima intervenção humana. Inclui arquiteturas multi-agent e frameworks como LangGraph, AutoGen e CrewAI.</w:t>
            </w:r>
          </w:p>
        </w:tc>
      </w:tr>
      <w:tr w:rsidR="00000000" w14:paraId="00A9CCDD"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FC376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IA Analítica / Tradicional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E5E5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Conjunto de técnicas de Machine Learning clássico e estatística (regressão, árvores de decisão, clustering, séries temporais) voltadas à predição, segmentação e diagnóstico a partir de dados estruturados.</w:t>
            </w:r>
          </w:p>
        </w:tc>
      </w:tr>
      <w:tr w:rsidR="00000000" w14:paraId="6822EE68"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D24DCA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IA Generativa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32C0F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Classe de modelos de aprendizado profundo — principalmente Large Language Models (LLMs) e modelos de difusão — capaz de gerar texto, código, imagem, áudio e outros conteúdos a partir de prompts. Exemplos: GPT-4o, Claude, Gemini, Stable Diffusion.</w:t>
            </w:r>
          </w:p>
        </w:tc>
      </w:tr>
      <w:tr w:rsidR="00000000" w14:paraId="3B02FBEF"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F21065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LLM (Large Language Model)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0FDFDE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Modelo de linguagem de grande escala treinado em vastos corpora textuais, utilizando arquitetura Transformer. Serve como base para aplicações de geração de texto, resumo, tradução, code completion e agentes conversacionais.</w:t>
            </w:r>
          </w:p>
        </w:tc>
      </w:tr>
      <w:tr w:rsidR="00000000" w14:paraId="5F138351"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87D85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MLOps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28262C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Conjunto de práticas e ferramentas que aplicam princípios DevOps ao ciclo de vida de modelos de Machine Learning, abrangendo versionamento de código e dados, CI/CD de modelos, monitoramento em produção (concept drift, data drift) e retreinamento automatizado (Continuous Training).</w:t>
            </w:r>
          </w:p>
        </w:tc>
      </w:tr>
      <w:tr w:rsidR="00000000" w14:paraId="72C7135E"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AA1A847"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Feature Store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C15AD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Repositório centralizado para armazenamento, versionamento e compartilhamento de features (atributos) usadas em treinamento e inferência de modelos de ML, reduzindo retrabalho e garantindo consistência entre ambientes de desenvolvimento e produção.</w:t>
            </w:r>
          </w:p>
        </w:tc>
      </w:tr>
      <w:tr w:rsidR="00000000" w14:paraId="4BDF8005"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3EE393"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Concept Drift</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9AD63E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Fenômeno pelo qual a relação estatística entre variáveis de entrada e saída de um modelo muda ao longo do tempo — por mudanças no comportamento do mercado, clientes ou processos —, degradando a acurácia do modelo sem alteração nos dados de treinamento originais.</w:t>
            </w:r>
          </w:p>
        </w:tc>
      </w:tr>
      <w:tr w:rsidR="00000000" w14:paraId="761D88E0"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3F227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LGPD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1B44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Lei Geral de Proteção de Dados Pessoais (Lei nº 13.709/2018), legislação brasileira que regula o tratamento de dados pessoais por organizações públicas e privadas, estabelecendo bases legais, direitos dos titulares e sanções administrativas aplicáveis pela ANPD.</w:t>
            </w:r>
          </w:p>
        </w:tc>
      </w:tr>
      <w:tr w:rsidR="00000000" w14:paraId="5DF0EC7F"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18F3C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Explainability / XAI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64E1E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Capacidade de um modelo de IA de fornecer justificativas compreensíveis para suas predições ou decisões. Técnicas como SHAP, LIME e Integrated Gradients são usadas para tornar modelos caixa-preta interpretáveis a stakeholders técnicos e de negócio.</w:t>
            </w:r>
          </w:p>
        </w:tc>
      </w:tr>
      <w:tr w:rsidR="00000000" w14:paraId="2999933A"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AD9BE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RAG (Retrieval-Augmented Generation)</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541D51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Arquitetura que combina recuperação de documentos relevantes em tempo real (via embeddings e busca vetorial) com geração de resposta por um LLM, reduzindo alucinações e ancorando respostas em bases de conhecimento proprietárias e atualizadas.</w:t>
            </w:r>
          </w:p>
        </w:tc>
      </w:tr>
      <w:tr w:rsidR="00000000" w14:paraId="12D77C13"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B1DBC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FinOps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4A4F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Disciplina de gestão financeira de infraestrutura cloud que une engenharia, finanças e negócio para otimizar custos de computação, armazenamento e serviços gerenciados de IA, mantendo visibilidade de gasto por projeto, equipe e caso de uso.</w:t>
            </w:r>
          </w:p>
        </w:tc>
      </w:tr>
      <w:tr w:rsidR="00000000" w14:paraId="1E46EC50"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BF915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Guardrails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3375F1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Mecanismos técnicos e processuais que estabelecem limites de comportamento para sistemas de IA — filtros de conteúdo, restrições de escopo de agentes, validação de saídas —, garantindo segurança, conformidade e alinhamento com políticas da organização.</w:t>
            </w:r>
          </w:p>
        </w:tc>
      </w:tr>
      <w:tr w:rsidR="00000000" w14:paraId="2304B19A"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1E48A7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 ROI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9FA83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Retorno sobre o investimento em capacidades de IA — calculado como o valor gerado (economia de custo, receita incremental, ganho de produtividade) dividido pelo investimento total em dados, plataforma, talentos e governança. Difere do ROI corporativo geral sobre faturamento.</w:t>
            </w:r>
          </w:p>
        </w:tc>
      </w:tr>
      <w:tr w:rsidR="00000000" w14:paraId="24B8106F"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61E2B3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Playbook Atlas (SysMap Blueprint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6C1D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Repositório interno de aceleradores técnicos composto por mais de 1.200 componentes reutilizáveis — motores de ML, agentes, APIs, blueprints de arquitetura, templates de governança — desenvolvidos pela Empresa Teste Maturidade IA para acelerar a industrialização de soluções de IA em clientes.</w:t>
            </w:r>
          </w:p>
        </w:tc>
      </w:tr>
      <w:tr w:rsidR="00000000" w14:paraId="650BA08C"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5B3F5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Data Mesh</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B9A2F0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Paradigma de arquitetura de dados que descentraliza a propriedade dos dados para domínios de negócio, tratando dados como produto, com interfaces padronizadas e governança federada, em contraste com abordagens monolíticas de data warehouse ou data lake centralizados.</w:t>
            </w:r>
          </w:p>
        </w:tc>
      </w:tr>
      <w:tr w:rsidR="00000000" w14:paraId="440D9EE3"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A1AF5C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EU AI Act</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5286E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Regulamento da União Europeia (aprovado em 2024) que classifica sistemas de IA por nível de risco (inaceitável, alto, limitado, mínimo) e impõe requisitos de transparência, documentação técnica, conformidade e auditoria — com implicações extraterritoriais para empresas que operam ou exportam para o mercado europeu.</w:t>
            </w:r>
          </w:p>
        </w:tc>
      </w:tr>
      <w:tr w:rsidR="00000000" w14:paraId="3E459B69"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953DE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NIST AI RMF</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D75E10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AI Risk Management Framework publicado pelo National Institute of Standards and Technology (EUA), estruturado em quatro funções — Govern, Map, Measure, Manage — para identificar, avaliar e mitigar riscos em sistemas de IA ao longo de seu ciclo de vida.</w:t>
            </w:r>
          </w:p>
        </w:tc>
      </w:tr>
      <w:tr w:rsidR="00000000" w14:paraId="1BC5422C"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67DFE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AIaaS (AI as a Service)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F04F20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Modelo de comercialização em que capacidades de IA (modelos, APIs, pipelines, plataformas) são ofertadas como serviço a clientes ou parceiros externos, gerando receita recorrente e diferenciando a organização além do uso interno de IA.</w:t>
            </w:r>
          </w:p>
        </w:tc>
      </w:tr>
      <w:tr w:rsidR="00000000" w14:paraId="50D23CBD" w14:textId="77777777">
        <w:trPr>
          <w:divId w:val="3183922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8846B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Orquestração de Pipelines de ML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0E6F5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Automação do fluxo completo de um projeto de ML — ingestão de dados, pré-processamento, treinamento, avaliação, deploy e monitoramento — por meio de ferramentas como Apache Airflow, Kubeflow Pipelines, MLflow Projects ou Vertex AI Pipelines, garantindo reprodutibilidade e auditabilidade end-to-end.</w:t>
            </w:r>
          </w:p>
        </w:tc>
      </w:tr>
    </w:tbl>
    <w:p w14:paraId="2C70FA4D"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194D137">
          <v:rect id="_x0000_i1047" alt="" style="width:425.2pt;height:.05pt;mso-width-percent:0;mso-height-percent:0;mso-width-percent:0;mso-height-percent:0" o:hralign="center" o:hrstd="t" o:hr="t" fillcolor="#a0a0a0" stroked="f"/>
        </w:pict>
      </w:r>
    </w:p>
    <w:p w14:paraId="053F1512"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Apêndice B — Frameworks de Referência</w:t>
      </w:r>
    </w:p>
    <w:p w14:paraId="601816C0"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MIT CISR Enterprise AI Maturity Model</w:t>
      </w:r>
    </w:p>
    <w:p w14:paraId="172D9AF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Origem e publicação:</w:t>
      </w:r>
      <w:r>
        <w:rPr>
          <w:rFonts w:ascii="Calibri" w:hAnsi="Calibri" w:cs="Calibri"/>
          <w:color w:val="1E293B"/>
          <w:sz w:val="22"/>
          <w:szCs w:val="22"/>
        </w:rPr>
        <w:t xml:space="preserve"> desenvolvido pelo Center for Information Systems Research do MIT (Massachusetts Institute of Technology), o modelo foi apresentado em Research Briefings como </w:t>
      </w:r>
      <w:r>
        <w:rPr>
          <w:rStyle w:val="nfase"/>
          <w:rFonts w:ascii="Calibri" w:hAnsi="Calibri" w:cs="Calibri"/>
          <w:color w:val="1E293B"/>
          <w:sz w:val="22"/>
          <w:szCs w:val="22"/>
        </w:rPr>
        <w:t>"Building Enterprise AI Maturity"</w:t>
      </w:r>
      <w:r>
        <w:rPr>
          <w:rFonts w:ascii="Calibri" w:hAnsi="Calibri" w:cs="Calibri"/>
          <w:color w:val="1E293B"/>
          <w:sz w:val="22"/>
          <w:szCs w:val="22"/>
        </w:rPr>
        <w:t xml:space="preserve"> (2024) e atualizado em </w:t>
      </w:r>
      <w:r>
        <w:rPr>
          <w:rStyle w:val="nfase"/>
          <w:rFonts w:ascii="Calibri" w:hAnsi="Calibri" w:cs="Calibri"/>
          <w:color w:val="1E293B"/>
          <w:sz w:val="22"/>
          <w:szCs w:val="22"/>
        </w:rPr>
        <w:t>"Grow Enterprise AI Maturity…"</w:t>
      </w:r>
      <w:r>
        <w:rPr>
          <w:rFonts w:ascii="Calibri" w:hAnsi="Calibri" w:cs="Calibri"/>
          <w:color w:val="1E293B"/>
          <w:sz w:val="22"/>
          <w:szCs w:val="22"/>
        </w:rPr>
        <w:t xml:space="preserve"> (2025). É um framework de pesquisa empírica baseado em centenas de entrevistas e surveys com executivos globais.</w:t>
      </w:r>
    </w:p>
    <w:p w14:paraId="4B9EE00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Estrutura:</w:t>
      </w:r>
      <w:r>
        <w:rPr>
          <w:rFonts w:ascii="Calibri" w:hAnsi="Calibri" w:cs="Calibri"/>
          <w:color w:val="1E293B"/>
          <w:sz w:val="22"/>
          <w:szCs w:val="22"/>
        </w:rPr>
        <w:t xml:space="preserve"> organiza a jornada de maturidade em IA empresarial em </w:t>
      </w:r>
      <w:r>
        <w:rPr>
          <w:rStyle w:val="Forte"/>
          <w:rFonts w:ascii="Calibri" w:hAnsi="Calibri" w:cs="Calibri"/>
          <w:color w:val="1E293B"/>
          <w:sz w:val="22"/>
          <w:szCs w:val="22"/>
        </w:rPr>
        <w:t>quatro estágios progressivos</w:t>
      </w:r>
      <w:r>
        <w:rPr>
          <w:rFonts w:ascii="Calibri" w:hAnsi="Calibri" w:cs="Calibri"/>
          <w:color w:val="1E293B"/>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027"/>
        <w:gridCol w:w="2036"/>
        <w:gridCol w:w="5425"/>
      </w:tblGrid>
      <w:tr w:rsidR="00000000" w14:paraId="5FF89812" w14:textId="77777777">
        <w:trPr>
          <w:divId w:val="1081873935"/>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906494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Estágio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1355073"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Nome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55C461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Característica central</w:t>
            </w:r>
          </w:p>
        </w:tc>
      </w:tr>
      <w:tr w:rsidR="00000000" w14:paraId="43A5FAC4" w14:textId="77777777">
        <w:trPr>
          <w:divId w:val="108187393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EED696"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BAB0F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Experiment and Prepare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7DDD7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Pilotos isolados, sem governança nem estratégia unificada; aprendizado exploratório.</w:t>
            </w:r>
          </w:p>
        </w:tc>
      </w:tr>
      <w:tr w:rsidR="00000000" w14:paraId="4B815CAD" w14:textId="77777777">
        <w:trPr>
          <w:divId w:val="108187393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92178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C9E811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Build Pilots and Capabilities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7CA6B4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Expansão de pilotos, construção de fundação de dados e talentos; valor ainda inconsistente.</w:t>
            </w:r>
          </w:p>
        </w:tc>
      </w:tr>
      <w:tr w:rsidR="00000000" w14:paraId="5C0D4877" w14:textId="77777777">
        <w:trPr>
          <w:divId w:val="108187393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CD3E4D"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8DBE79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Develop AI Ways of Working</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4F661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integrada a processos de negócio; práticas padronizadas de MLOps, governança e medição de ROI.</w:t>
            </w:r>
          </w:p>
        </w:tc>
      </w:tr>
      <w:tr w:rsidR="00000000" w14:paraId="23E758ED" w14:textId="77777777">
        <w:trPr>
          <w:divId w:val="108187393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4A1E695"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17A4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Become AI Future Ready</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0C53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embarcada na estratégia, no produto e no ecossistema; capacidade de criar novos modelos de negócio com IA.</w:t>
            </w:r>
          </w:p>
        </w:tc>
      </w:tr>
    </w:tbl>
    <w:p w14:paraId="7D4B47D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Aplicação neste book:</w:t>
      </w:r>
      <w:r>
        <w:rPr>
          <w:rFonts w:ascii="Calibri" w:hAnsi="Calibri" w:cs="Calibri"/>
          <w:color w:val="1E293B"/>
          <w:sz w:val="22"/>
          <w:szCs w:val="22"/>
        </w:rPr>
        <w:t xml:space="preserve"> o score consolidado da Empresa Teste Maturidade IA (2,31 na escala adaptada SysMap Blueprint IA) é interpretado como </w:t>
      </w:r>
      <w:r>
        <w:rPr>
          <w:rStyle w:val="Forte"/>
          <w:rFonts w:ascii="Calibri" w:hAnsi="Calibri" w:cs="Calibri"/>
          <w:color w:val="1E293B"/>
          <w:sz w:val="22"/>
          <w:szCs w:val="22"/>
        </w:rPr>
        <w:t>Estágio 2 — Build Pilots and Capabilities</w:t>
      </w:r>
      <w:r>
        <w:rPr>
          <w:rFonts w:ascii="Calibri" w:hAnsi="Calibri" w:cs="Calibri"/>
          <w:color w:val="1E293B"/>
          <w:sz w:val="22"/>
          <w:szCs w:val="22"/>
        </w:rPr>
        <w:t xml:space="preserve">, com vetores de avanço em direção ao Estágio 3. O modelo MIT CISR não gerou nem validou automaticamente este relatório; os scores numéricos são uma </w:t>
      </w:r>
      <w:r>
        <w:rPr>
          <w:rStyle w:val="Forte"/>
          <w:rFonts w:ascii="Calibri" w:hAnsi="Calibri" w:cs="Calibri"/>
          <w:color w:val="1E293B"/>
          <w:sz w:val="22"/>
          <w:szCs w:val="22"/>
        </w:rPr>
        <w:t>adaptação proprietária SysMap</w:t>
      </w:r>
      <w:r>
        <w:rPr>
          <w:rFonts w:ascii="Calibri" w:hAnsi="Calibri" w:cs="Calibri"/>
          <w:color w:val="1E293B"/>
          <w:sz w:val="22"/>
          <w:szCs w:val="22"/>
        </w:rPr>
        <w:t xml:space="preserve"> em escala 1–5.</w:t>
      </w:r>
    </w:p>
    <w:p w14:paraId="4C10422C"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Relevância para o setor tech:</w:t>
      </w:r>
      <w:r>
        <w:rPr>
          <w:rFonts w:ascii="Calibri" w:hAnsi="Calibri" w:cs="Calibri"/>
          <w:color w:val="1E293B"/>
          <w:sz w:val="22"/>
          <w:szCs w:val="22"/>
        </w:rPr>
        <w:t xml:space="preserve"> empresas de tecnologia no Estágio 3 tipicamente passam a oferecer IA como diferencial competitivo em seus próprios produtos (developer productivity, code generation, AI-native SaaS), acelerando a trajetória para o Estágio 4 (AIaaS, ecossistemas de parceiros baseados em IA).</w:t>
      </w:r>
    </w:p>
    <w:p w14:paraId="26C772DE"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75E5AD1">
          <v:rect id="_x0000_i1046" alt="" style="width:425.2pt;height:.05pt;mso-width-percent:0;mso-height-percent:0;mso-width-percent:0;mso-height-percent:0" o:hralign="center" o:hrstd="t" o:hr="t" fillcolor="#a0a0a0" stroked="f"/>
        </w:pict>
      </w:r>
    </w:p>
    <w:p w14:paraId="4C8E832B"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DORA Metrics (DevOps Research and Assessment)</w:t>
      </w:r>
    </w:p>
    <w:p w14:paraId="124ADE44"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Origem:</w:t>
      </w:r>
      <w:r>
        <w:rPr>
          <w:rFonts w:ascii="Calibri" w:hAnsi="Calibri" w:cs="Calibri"/>
          <w:color w:val="1E293B"/>
          <w:sz w:val="22"/>
          <w:szCs w:val="22"/>
        </w:rPr>
        <w:t xml:space="preserve"> framework desenvolvido pelo programa DORA (adquirido pelo Google Cloud), consolidado no relatório anual </w:t>
      </w:r>
      <w:r>
        <w:rPr>
          <w:rStyle w:val="nfase"/>
          <w:rFonts w:ascii="Calibri" w:hAnsi="Calibri" w:cs="Calibri"/>
          <w:color w:val="1E293B"/>
          <w:sz w:val="22"/>
          <w:szCs w:val="22"/>
        </w:rPr>
        <w:t>Accelerate State of DevOps</w:t>
      </w:r>
      <w:r>
        <w:rPr>
          <w:rFonts w:ascii="Calibri" w:hAnsi="Calibri" w:cs="Calibri"/>
          <w:color w:val="1E293B"/>
          <w:sz w:val="22"/>
          <w:szCs w:val="22"/>
        </w:rPr>
        <w:t>. Mede a eficácia de entrega de software por meio de quatro métricas-chave.</w:t>
      </w:r>
    </w:p>
    <w:p w14:paraId="5D3DA1C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As quatro métricas:</w:t>
      </w:r>
    </w:p>
    <w:tbl>
      <w:tblPr>
        <w:tblW w:w="5000" w:type="pct"/>
        <w:tblCellMar>
          <w:top w:w="15" w:type="dxa"/>
          <w:left w:w="15" w:type="dxa"/>
          <w:bottom w:w="15" w:type="dxa"/>
          <w:right w:w="15" w:type="dxa"/>
        </w:tblCellMar>
        <w:tblLook w:val="04A0" w:firstRow="1" w:lastRow="0" w:firstColumn="1" w:lastColumn="0" w:noHBand="0" w:noVBand="1"/>
      </w:tblPr>
      <w:tblGrid>
        <w:gridCol w:w="1871"/>
        <w:gridCol w:w="2888"/>
        <w:gridCol w:w="3729"/>
      </w:tblGrid>
      <w:tr w:rsidR="00000000" w14:paraId="56D3A17C" w14:textId="77777777">
        <w:trPr>
          <w:divId w:val="1538355626"/>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0744FA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Métrica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29204C8D"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O que mede</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57258E5E"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Relevância para IA</w:t>
            </w:r>
          </w:p>
        </w:tc>
      </w:tr>
      <w:tr w:rsidR="00000000" w14:paraId="14A23DAC" w14:textId="77777777">
        <w:trPr>
          <w:divId w:val="153835562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E6FD1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Deployment Frequency</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B8957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Com que frequência o time coloca código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EA7BF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Ritmo de deploy de novos modelos e versões de pipelines</w:t>
            </w:r>
          </w:p>
        </w:tc>
      </w:tr>
      <w:tr w:rsidR="00000000" w14:paraId="2741F058" w14:textId="77777777">
        <w:trPr>
          <w:divId w:val="153835562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F24B6E4"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Lead Time for Changes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E8926A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entre commit e deploy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E9C24F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Velocidade de iteração em modelos e features</w:t>
            </w:r>
          </w:p>
        </w:tc>
      </w:tr>
      <w:tr w:rsidR="00000000" w14:paraId="65852321" w14:textId="77777777">
        <w:trPr>
          <w:divId w:val="1538355626"/>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AE1BB0"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Change Failure Rate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68FF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 de deploys que causam degradação ou rollback</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2C7B5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Estabilidade de modelos em produção; impacto de concept drift não detectado</w:t>
            </w:r>
          </w:p>
        </w:tc>
      </w:tr>
      <w:tr w:rsidR="00000000" w14:paraId="0EF4414D" w14:textId="77777777">
        <w:trPr>
          <w:divId w:val="1538355626"/>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FA1975C"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Time to Restore Service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5386D4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Tempo médio para recuperar serviço após incidente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0C41F5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SLA de modelos críticos; tempo de resposta a falhas de inferência</w:t>
            </w:r>
          </w:p>
        </w:tc>
      </w:tr>
    </w:tbl>
    <w:p w14:paraId="4B79ECE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Aplicação em MLOps:</w:t>
      </w:r>
      <w:r>
        <w:rPr>
          <w:rFonts w:ascii="Calibri" w:hAnsi="Calibri" w:cs="Calibri"/>
          <w:color w:val="1E293B"/>
          <w:sz w:val="22"/>
          <w:szCs w:val="22"/>
        </w:rPr>
        <w:t xml:space="preserve"> em contextos de IA, as métricas DORA são estendidas para cobrir o ciclo de modelos — treinamento, validação, deploy canário, monitoramento de drift e rollback. A Empresa Teste Maturidade IA, com score 2,22 em deploy contínuo (Operações e Processos), tem espaço relevante para evoluir as métricas de Lead Time e Change Failure Rate no contexto de seus ativos de IA.</w:t>
      </w:r>
    </w:p>
    <w:p w14:paraId="1F815FA3"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BFC0D1D">
          <v:rect id="_x0000_i1045" alt="" style="width:425.2pt;height:.05pt;mso-width-percent:0;mso-height-percent:0;mso-width-percent:0;mso-height-percent:0" o:hralign="center" o:hrstd="t" o:hr="t" fillcolor="#a0a0a0" stroked="f"/>
        </w:pict>
      </w:r>
    </w:p>
    <w:p w14:paraId="413EB94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MLOps — CI/CD/CT (Machine Learning Operations)</w:t>
      </w:r>
    </w:p>
    <w:p w14:paraId="1E5669B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Origem e escopo:</w:t>
      </w:r>
      <w:r>
        <w:rPr>
          <w:rFonts w:ascii="Calibri" w:hAnsi="Calibri" w:cs="Calibri"/>
          <w:color w:val="1E293B"/>
          <w:sz w:val="22"/>
          <w:szCs w:val="22"/>
        </w:rPr>
        <w:t xml:space="preserve"> MLOps é a disciplina que aplica práticas de DevOps, DataOps e Engenharia de Software ao ciclo de vida completo de modelos de Machine Learning, conforme definido por referências como o </w:t>
      </w:r>
      <w:r>
        <w:rPr>
          <w:rStyle w:val="nfase"/>
          <w:rFonts w:ascii="Calibri" w:hAnsi="Calibri" w:cs="Calibri"/>
          <w:color w:val="1E293B"/>
          <w:sz w:val="22"/>
          <w:szCs w:val="22"/>
        </w:rPr>
        <w:t>Google MLOps Whitepaper</w:t>
      </w:r>
      <w:r>
        <w:rPr>
          <w:rFonts w:ascii="Calibri" w:hAnsi="Calibri" w:cs="Calibri"/>
          <w:color w:val="1E293B"/>
          <w:sz w:val="22"/>
          <w:szCs w:val="22"/>
        </w:rPr>
        <w:t xml:space="preserve"> (2021), o </w:t>
      </w:r>
      <w:r>
        <w:rPr>
          <w:rStyle w:val="nfase"/>
          <w:rFonts w:ascii="Calibri" w:hAnsi="Calibri" w:cs="Calibri"/>
          <w:color w:val="1E293B"/>
          <w:sz w:val="22"/>
          <w:szCs w:val="22"/>
        </w:rPr>
        <w:t>ML Engineering</w:t>
      </w:r>
      <w:r>
        <w:rPr>
          <w:rFonts w:ascii="Calibri" w:hAnsi="Calibri" w:cs="Calibri"/>
          <w:color w:val="1E293B"/>
          <w:sz w:val="22"/>
          <w:szCs w:val="22"/>
        </w:rPr>
        <w:t xml:space="preserve"> de Andriy Burkov e o </w:t>
      </w:r>
      <w:r>
        <w:rPr>
          <w:rStyle w:val="nfase"/>
          <w:rFonts w:ascii="Calibri" w:hAnsi="Calibri" w:cs="Calibri"/>
          <w:color w:val="1E293B"/>
          <w:sz w:val="22"/>
          <w:szCs w:val="22"/>
        </w:rPr>
        <w:t>Practitioners Guide to MLOps</w:t>
      </w:r>
      <w:r>
        <w:rPr>
          <w:rFonts w:ascii="Calibri" w:hAnsi="Calibri" w:cs="Calibri"/>
          <w:color w:val="1E293B"/>
          <w:sz w:val="22"/>
          <w:szCs w:val="22"/>
        </w:rPr>
        <w:t xml:space="preserve"> da Gartner.</w:t>
      </w:r>
    </w:p>
    <w:p w14:paraId="7422E05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Três pilares técnicos:</w:t>
      </w:r>
    </w:p>
    <w:p w14:paraId="7905F073" w14:textId="77777777" w:rsidR="00000000" w:rsidRDefault="00000000">
      <w:pPr>
        <w:numPr>
          <w:ilvl w:val="0"/>
          <w:numId w:val="4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CI (Continuous Integration):</w:t>
      </w:r>
      <w:r>
        <w:rPr>
          <w:rFonts w:ascii="Calibri" w:eastAsia="Times New Roman" w:hAnsi="Calibri" w:cs="Calibri"/>
          <w:color w:val="1E293B"/>
          <w:sz w:val="22"/>
          <w:szCs w:val="22"/>
        </w:rPr>
        <w:t xml:space="preserve"> automação de testes de código, dados e modelos a cada commit — validação de qualidade de dados, testes de unidade de features, verificação de métricas de treinamento antes de merge.</w:t>
      </w:r>
    </w:p>
    <w:p w14:paraId="73E67378" w14:textId="77777777" w:rsidR="00000000" w:rsidRDefault="00000000">
      <w:pPr>
        <w:numPr>
          <w:ilvl w:val="0"/>
          <w:numId w:val="4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CD (Continuous Delivery/Deployment):</w:t>
      </w:r>
      <w:r>
        <w:rPr>
          <w:rFonts w:ascii="Calibri" w:eastAsia="Times New Roman" w:hAnsi="Calibri" w:cs="Calibri"/>
          <w:color w:val="1E293B"/>
          <w:sz w:val="22"/>
          <w:szCs w:val="22"/>
        </w:rPr>
        <w:t xml:space="preserve"> automação do pipeline de empacotamento, validação e deploy de modelos em ambientes de staging e produção, com estratégias de deploy seguro (canário, blue-green, shadow mode).</w:t>
      </w:r>
    </w:p>
    <w:p w14:paraId="6AE8C0FF" w14:textId="77777777" w:rsidR="00000000" w:rsidRDefault="00000000">
      <w:pPr>
        <w:numPr>
          <w:ilvl w:val="0"/>
          <w:numId w:val="4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CT (Continuous Training):</w:t>
      </w:r>
      <w:r>
        <w:rPr>
          <w:rFonts w:ascii="Calibri" w:eastAsia="Times New Roman" w:hAnsi="Calibri" w:cs="Calibri"/>
          <w:color w:val="1E293B"/>
          <w:sz w:val="22"/>
          <w:szCs w:val="22"/>
        </w:rPr>
        <w:t xml:space="preserve"> retreinamento automático de modelos acionado por gatilhos de degradação de performance (concept drift, data drift), chegada de novos dados rotulados ou calendário fixo — garantindo que modelos em produção permaneçam relevantes ao longo do tempo.</w:t>
      </w:r>
    </w:p>
    <w:p w14:paraId="7E40E0F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Ferramentas de referência:</w:t>
      </w:r>
      <w:r>
        <w:rPr>
          <w:rFonts w:ascii="Calibri" w:hAnsi="Calibri" w:cs="Calibri"/>
          <w:color w:val="1E293B"/>
          <w:sz w:val="22"/>
          <w:szCs w:val="22"/>
        </w:rPr>
        <w:t xml:space="preserve"> MLflow, Kubeflow, Vertex AI, SageMaker Pipelines, DVC, Feast (Feature Store), Evidently AI (monitoramento de drift), Seldon, BentoML.</w:t>
      </w:r>
    </w:p>
    <w:p w14:paraId="1A030D9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Conexão com o assessment:</w:t>
      </w:r>
      <w:r>
        <w:rPr>
          <w:rFonts w:ascii="Calibri" w:hAnsi="Calibri" w:cs="Calibri"/>
          <w:color w:val="1E293B"/>
          <w:sz w:val="22"/>
          <w:szCs w:val="22"/>
        </w:rPr>
        <w:t xml:space="preserve"> a Empresa Teste Maturidade IA apresenta score 1,89 em ferramentas de MLOps (Dados e Tecnologia) e 1,78 em monitoramento de performance de modelos (Operações e Processos), indicando que a implantação de uma camada de CT e observabilidade de modelos é prioridade crítica para avançar ao Estágio 3 do MIT CISR.</w:t>
      </w:r>
    </w:p>
    <w:p w14:paraId="022E2E8F"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EEFAFD2">
          <v:rect id="_x0000_i1044" alt="" style="width:425.2pt;height:.05pt;mso-width-percent:0;mso-height-percent:0;mso-width-percent:0;mso-height-percent:0" o:hralign="center" o:hrstd="t" o:hr="t" fillcolor="#a0a0a0" stroked="f"/>
        </w:pict>
      </w:r>
    </w:p>
    <w:p w14:paraId="40BCD45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FinOps (Financial Operations for Cloud &amp; AI)</w:t>
      </w:r>
    </w:p>
    <w:p w14:paraId="272B6793"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Origem:</w:t>
      </w:r>
      <w:r>
        <w:rPr>
          <w:rFonts w:ascii="Calibri" w:hAnsi="Calibri" w:cs="Calibri"/>
          <w:color w:val="1E293B"/>
          <w:sz w:val="22"/>
          <w:szCs w:val="22"/>
        </w:rPr>
        <w:t xml:space="preserve"> framework mantido pela FinOps Foundation (Linux Foundation), estruturado para governar e otimizar gastos em infraestrutura cloud — incluindo workloads de IA/ML que consomem GPU, TPU, armazenamento de vetores e APIs de LLMs de terceiros.</w:t>
      </w:r>
    </w:p>
    <w:p w14:paraId="47314BF1"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Ciclo FinOps aplicado a IA:</w:t>
      </w:r>
    </w:p>
    <w:p w14:paraId="493B38B6" w14:textId="77777777" w:rsidR="00000000" w:rsidRDefault="00000000">
      <w:pPr>
        <w:pStyle w:val="Pr-formataoHTML"/>
        <w:shd w:val="clear" w:color="auto" w:fill="1E293B"/>
        <w:spacing w:before="200" w:after="200"/>
        <w:rPr>
          <w:rFonts w:ascii="Consolas" w:hAnsi="Consolas" w:cs="Consolas"/>
          <w:color w:val="E2E8F0"/>
        </w:rPr>
      </w:pPr>
      <w:r>
        <w:rPr>
          <w:rFonts w:ascii="Consolas" w:hAnsi="Consolas" w:cs="Consolas"/>
          <w:color w:val="E2E8F0"/>
        </w:rPr>
        <w:t>Informar → Otimizar → Operar</w:t>
      </w:r>
    </w:p>
    <w:p w14:paraId="7FFB87FD" w14:textId="77777777" w:rsidR="00000000" w:rsidRDefault="00000000">
      <w:pPr>
        <w:pStyle w:val="Pr-formataoHTML"/>
        <w:shd w:val="clear" w:color="auto" w:fill="1E293B"/>
        <w:spacing w:before="200" w:after="200"/>
        <w:rPr>
          <w:rFonts w:ascii="Consolas" w:hAnsi="Consolas" w:cs="Consolas"/>
          <w:color w:val="E2E8F0"/>
        </w:rPr>
      </w:pPr>
      <w:r>
        <w:rPr>
          <w:rFonts w:ascii="Consolas" w:hAnsi="Consolas" w:cs="Consolas"/>
          <w:color w:val="E2E8F0"/>
        </w:rPr>
        <w:t xml:space="preserve">    ↑                      ↓</w:t>
      </w:r>
    </w:p>
    <w:p w14:paraId="6F9CE7FF" w14:textId="77777777" w:rsidR="00000000" w:rsidRDefault="00000000">
      <w:pPr>
        <w:pStyle w:val="Pr-formataoHTML"/>
        <w:shd w:val="clear" w:color="auto" w:fill="1E293B"/>
        <w:spacing w:before="200" w:after="200"/>
        <w:rPr>
          <w:rFonts w:ascii="Consolas" w:hAnsi="Consolas" w:cs="Consolas"/>
          <w:color w:val="E2E8F0"/>
        </w:rPr>
      </w:pPr>
      <w:r>
        <w:rPr>
          <w:rFonts w:ascii="Consolas" w:hAnsi="Consolas" w:cs="Consolas"/>
          <w:color w:val="E2E8F0"/>
        </w:rPr>
        <w:t xml:space="preserve">    └──────────────────────┘</w:t>
      </w:r>
    </w:p>
    <w:p w14:paraId="717D21D6" w14:textId="77777777" w:rsidR="00000000" w:rsidRDefault="00000000">
      <w:pPr>
        <w:numPr>
          <w:ilvl w:val="0"/>
          <w:numId w:val="4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Informar:</w:t>
      </w:r>
      <w:r>
        <w:rPr>
          <w:rFonts w:ascii="Calibri" w:eastAsia="Times New Roman" w:hAnsi="Calibri" w:cs="Calibri"/>
          <w:color w:val="1E293B"/>
          <w:sz w:val="22"/>
          <w:szCs w:val="22"/>
        </w:rPr>
        <w:t xml:space="preserve"> visibilidade granular de custo por modelo, experimento, equipe e caso de uso; tagging de recursos cloud para rastreabilidade de investimento em IA.</w:t>
      </w:r>
    </w:p>
    <w:p w14:paraId="688806DA" w14:textId="77777777" w:rsidR="00000000" w:rsidRDefault="00000000">
      <w:pPr>
        <w:numPr>
          <w:ilvl w:val="0"/>
          <w:numId w:val="4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Otimizar:</w:t>
      </w:r>
      <w:r>
        <w:rPr>
          <w:rFonts w:ascii="Calibri" w:eastAsia="Times New Roman" w:hAnsi="Calibri" w:cs="Calibri"/>
          <w:color w:val="1E293B"/>
          <w:sz w:val="22"/>
          <w:szCs w:val="22"/>
        </w:rPr>
        <w:t xml:space="preserve"> rightsizing de instâncias GPU, uso de spot/preemptible instances para treinamento batch, caching de embeddings, compressão e quantização de modelos para reduzir custo de inferência.</w:t>
      </w:r>
    </w:p>
    <w:p w14:paraId="457BB9A1" w14:textId="77777777" w:rsidR="00000000" w:rsidRDefault="00000000">
      <w:pPr>
        <w:numPr>
          <w:ilvl w:val="0"/>
          <w:numId w:val="4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Operar:</w:t>
      </w:r>
      <w:r>
        <w:rPr>
          <w:rFonts w:ascii="Calibri" w:eastAsia="Times New Roman" w:hAnsi="Calibri" w:cs="Calibri"/>
          <w:color w:val="1E293B"/>
          <w:sz w:val="22"/>
          <w:szCs w:val="22"/>
        </w:rPr>
        <w:t xml:space="preserve"> revisões periódicas de custo vs. valor gerado; showback/chargeback por unidade de negócio; alinhamento entre FinOps, MLOps e Product Management.</w:t>
      </w:r>
    </w:p>
    <w:p w14:paraId="368D2690"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Relevância para a Empresa Teste Maturidade IA:</w:t>
      </w:r>
      <w:r>
        <w:rPr>
          <w:rFonts w:ascii="Calibri" w:hAnsi="Calibri" w:cs="Calibri"/>
          <w:color w:val="1E293B"/>
          <w:sz w:val="22"/>
          <w:szCs w:val="22"/>
        </w:rPr>
        <w:t xml:space="preserve"> com investimento anual de referência em IA de R$ 3.000.000 e score ainda incipiente em industrialização de plataforma (2,14), a adoção de práticas FinOps permite maximizar o retorno sobre cada real investido em infraestrutura de IA — especialmente em um cenário de escala de experimentos e colocação de modelos em produção.</w:t>
      </w:r>
    </w:p>
    <w:p w14:paraId="600D2A51"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4D10C40">
          <v:rect id="_x0000_i1043" alt="" style="width:425.2pt;height:.05pt;mso-width-percent:0;mso-height-percent:0;mso-width-percent:0;mso-height-percent:0" o:hralign="center" o:hrstd="t" o:hr="t" fillcolor="#a0a0a0" stroked="f"/>
        </w:pict>
      </w:r>
    </w:p>
    <w:p w14:paraId="741D549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NIST AI RMF (Artificial Intelligence Risk Management Framework)</w:t>
      </w:r>
    </w:p>
    <w:p w14:paraId="24442085"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Origem e publicação:</w:t>
      </w:r>
      <w:r>
        <w:rPr>
          <w:rFonts w:ascii="Calibri" w:hAnsi="Calibri" w:cs="Calibri"/>
          <w:color w:val="1E293B"/>
          <w:sz w:val="22"/>
          <w:szCs w:val="22"/>
        </w:rPr>
        <w:t xml:space="preserve"> publicado pelo National Institute of Standards and Technology (EUA) em janeiro de 2023 (NIST AI 100-1), com perfis complementares para setores específicos. É voluntário nos EUA, mas serve como base para regulações emergentes globais e para auditorias de conformidade em contratos com grandes corporações e governo.</w:t>
      </w:r>
    </w:p>
    <w:p w14:paraId="64A0502D"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Estrutura — quatro funções principais:</w:t>
      </w:r>
    </w:p>
    <w:tbl>
      <w:tblPr>
        <w:tblW w:w="5000" w:type="pct"/>
        <w:tblCellMar>
          <w:top w:w="15" w:type="dxa"/>
          <w:left w:w="15" w:type="dxa"/>
          <w:bottom w:w="15" w:type="dxa"/>
          <w:right w:w="15" w:type="dxa"/>
        </w:tblCellMar>
        <w:tblLook w:val="04A0" w:firstRow="1" w:lastRow="0" w:firstColumn="1" w:lastColumn="0" w:noHBand="0" w:noVBand="1"/>
      </w:tblPr>
      <w:tblGrid>
        <w:gridCol w:w="1271"/>
        <w:gridCol w:w="3565"/>
        <w:gridCol w:w="3652"/>
      </w:tblGrid>
      <w:tr w:rsidR="00000000" w14:paraId="61271925" w14:textId="77777777">
        <w:trPr>
          <w:divId w:val="328020720"/>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530C196"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Função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A7F7F4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Descrição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8424392"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Exemplos de atividades</w:t>
            </w:r>
          </w:p>
        </w:tc>
      </w:tr>
      <w:tr w:rsidR="00000000" w14:paraId="70FD0941" w14:textId="77777777">
        <w:trPr>
          <w:divId w:val="3280207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FC89DE"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GOVERN</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41D2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Estabelece cultura, políticas e responsabilidades de gestão de risco de IA na organização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45C0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Criação de comitê de ética em IA; definição de papéis de AI Risk Owner; políticas de uso aceitável</w:t>
            </w:r>
          </w:p>
        </w:tc>
      </w:tr>
      <w:tr w:rsidR="00000000" w14:paraId="36BFC4B0" w14:textId="77777777">
        <w:trPr>
          <w:divId w:val="3280207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658F81A"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MAP</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E32D01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Identifica e contextualiza riscos de IA em cada sistema e caso de uso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65E9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Inventário de sistemas de IA; classificação por nível de risco; mapeamento de stakeholders impactados</w:t>
            </w:r>
          </w:p>
        </w:tc>
      </w:tr>
      <w:tr w:rsidR="00000000" w14:paraId="3ADD2F6B" w14:textId="77777777">
        <w:trPr>
          <w:divId w:val="328020720"/>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5E9648F"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MEASURE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C3ACE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Avalia, analisa e monitora riscos identificados com métricas quantitativas e qualitativas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ECBC8A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Testes de viés, fairness e robustez; métricas de explainability; avaliação de privacy risk</w:t>
            </w:r>
          </w:p>
        </w:tc>
      </w:tr>
      <w:tr w:rsidR="00000000" w14:paraId="0954C519" w14:textId="77777777">
        <w:trPr>
          <w:divId w:val="328020720"/>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70EEAB" w14:textId="77777777" w:rsidR="00000000" w:rsidRDefault="00000000">
            <w:pPr>
              <w:spacing w:before="240" w:after="240"/>
              <w:rPr>
                <w:rFonts w:ascii="Calibri" w:eastAsia="Times New Roman" w:hAnsi="Calibri" w:cs="Calibri"/>
                <w:color w:val="1E293B"/>
                <w:sz w:val="21"/>
                <w:szCs w:val="21"/>
              </w:rPr>
            </w:pPr>
            <w:r>
              <w:rPr>
                <w:rStyle w:val="Forte"/>
                <w:rFonts w:ascii="Calibri" w:eastAsia="Times New Roman" w:hAnsi="Calibri" w:cs="Calibri"/>
                <w:color w:val="1E293B"/>
                <w:sz w:val="21"/>
                <w:szCs w:val="21"/>
              </w:rPr>
              <w:t>MANAGE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80E4F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Prioriza e trata riscos; implementa planos de resposta e aprendizado contínuo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8DBF50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Remediação de vieses; planos de contingência para falhas de modelo; revisões periódicas pós-deploy</w:t>
            </w:r>
          </w:p>
        </w:tc>
      </w:tr>
    </w:tbl>
    <w:p w14:paraId="141A0D9A"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Conexão com o assessment:</w:t>
      </w:r>
      <w:r>
        <w:rPr>
          <w:rFonts w:ascii="Calibri" w:hAnsi="Calibri" w:cs="Calibri"/>
          <w:color w:val="1E293B"/>
          <w:sz w:val="22"/>
          <w:szCs w:val="22"/>
        </w:rPr>
        <w:t xml:space="preserve"> a Empresa Teste Maturidade IA registra score 1,58 em Conformidade Regulatória — a dimensão mais crítica do diagnóstico —, com destaque negativo em auditoria de conformidade (1,33) e gestão de riscos regulatórios com planos documentados (1,17). A adoção sistemática das funções MAP e MEASURE do NIST AI RMF constitui o passo imediato mais urgente para reduzir exposição regulatória, especialmente considerando a operação no setor de tecnologia com clientes sujeitos a regulações setoriais diversas e a proximidade da entrada em vigor de marcos regulatórios inspirados no EU AI Act.</w:t>
      </w:r>
    </w:p>
    <w:p w14:paraId="4688854B"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Apêndice C — Detalhamento dos Scores por Pergunta</w:t>
      </w:r>
    </w:p>
    <w:p w14:paraId="7E6E587F"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Tabela completa com todas as perguntas avaliadas no assessment, organizadas por dimensão, em ordem oficial de apresentação.</w:t>
      </w:r>
    </w:p>
    <w:tbl>
      <w:tblPr>
        <w:tblW w:w="5000" w:type="pct"/>
        <w:tblCellMar>
          <w:top w:w="15" w:type="dxa"/>
          <w:left w:w="15" w:type="dxa"/>
          <w:bottom w:w="15" w:type="dxa"/>
          <w:right w:w="15" w:type="dxa"/>
        </w:tblCellMar>
        <w:tblLook w:val="04A0" w:firstRow="1" w:lastRow="0" w:firstColumn="1" w:lastColumn="0" w:noHBand="0" w:noVBand="1"/>
      </w:tblPr>
      <w:tblGrid>
        <w:gridCol w:w="2290"/>
        <w:gridCol w:w="648"/>
        <w:gridCol w:w="4669"/>
        <w:gridCol w:w="881"/>
      </w:tblGrid>
      <w:tr w:rsidR="00000000" w14:paraId="7FE01CD4" w14:textId="77777777">
        <w:trPr>
          <w:divId w:val="2089228025"/>
          <w:tblHeader/>
        </w:trPr>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6A460090"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Dimensão</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1A907AE4"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33C749DB"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Pergunta resumida</w:t>
            </w:r>
          </w:p>
        </w:tc>
        <w:tc>
          <w:tcPr>
            <w:tcW w:w="0" w:type="auto"/>
            <w:tcBorders>
              <w:top w:val="single" w:sz="6" w:space="0" w:color="D8B4FE"/>
              <w:left w:val="single" w:sz="6" w:space="0" w:color="D8B4FE"/>
              <w:bottom w:val="single" w:sz="6" w:space="0" w:color="D8B4FE"/>
              <w:right w:val="single" w:sz="6" w:space="0" w:color="D8B4FE"/>
            </w:tcBorders>
            <w:shd w:val="clear" w:color="auto" w:fill="F3E8FF"/>
            <w:tcMar>
              <w:top w:w="160" w:type="dxa"/>
              <w:left w:w="200" w:type="dxa"/>
              <w:bottom w:w="160" w:type="dxa"/>
              <w:right w:w="200" w:type="dxa"/>
            </w:tcMar>
            <w:vAlign w:val="center"/>
            <w:hideMark/>
          </w:tcPr>
          <w:p w14:paraId="7F6925E7" w14:textId="77777777" w:rsidR="00000000" w:rsidRDefault="00000000">
            <w:pPr>
              <w:spacing w:before="240" w:after="240"/>
              <w:rPr>
                <w:rFonts w:ascii="Calibri" w:eastAsia="Times New Roman" w:hAnsi="Calibri" w:cs="Calibri"/>
                <w:b/>
                <w:bCs/>
                <w:color w:val="6B21A8"/>
                <w:sz w:val="21"/>
                <w:szCs w:val="21"/>
              </w:rPr>
            </w:pPr>
            <w:r>
              <w:rPr>
                <w:rFonts w:ascii="Calibri" w:eastAsia="Times New Roman" w:hAnsi="Calibri" w:cs="Calibri"/>
                <w:b/>
                <w:bCs/>
                <w:color w:val="6B21A8"/>
                <w:sz w:val="21"/>
                <w:szCs w:val="21"/>
              </w:rPr>
              <w:t>Score</w:t>
            </w:r>
          </w:p>
        </w:tc>
      </w:tr>
      <w:tr w:rsidR="00000000" w14:paraId="355CDCC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BEF24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Estratégia e Liderança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61014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7AF42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uma estratégia clara de IA alinhada com objetivos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F67E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2.09</w:t>
            </w:r>
          </w:p>
        </w:tc>
      </w:tr>
      <w:tr w:rsidR="00000000" w14:paraId="3F605158"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68EE5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Estratégia e Liderança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16DBC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FA741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 C-Level está engajado e patrocinando iniciativas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43F6C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3.45</w:t>
            </w:r>
          </w:p>
        </w:tc>
      </w:tr>
      <w:tr w:rsidR="00000000" w14:paraId="6154A2E8"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D1D774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Estratégia e Liderança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E74F41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7C523C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um orçamento dedicado e aprovado para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0F926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1.91</w:t>
            </w:r>
          </w:p>
        </w:tc>
      </w:tr>
      <w:tr w:rsidR="00000000" w14:paraId="18580A9B"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6FA881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Estratégia e Liderança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443536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5E2DA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Chief AI Officer ou responsável por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F587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2.09</w:t>
            </w:r>
          </w:p>
        </w:tc>
      </w:tr>
      <w:tr w:rsidR="00000000" w14:paraId="4B33851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49B98C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Estratégia e Liderança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040D42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1879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organização tem um roadmap de IA de 1–3 anos?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FCAAD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1.82</w:t>
            </w:r>
          </w:p>
        </w:tc>
      </w:tr>
      <w:tr w:rsidR="00000000" w14:paraId="667E923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2850AF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Estratégia e Liderança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50155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F3178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métricas de sucesso definidas para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EAD1C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1.91</w:t>
            </w:r>
          </w:p>
        </w:tc>
      </w:tr>
      <w:tr w:rsidR="00000000" w14:paraId="6B60A61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BD0AE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Dados 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58D4A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DE1F6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catálogo centralizado de dados?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BE9B8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273A1D5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5D08E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Dados 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F2165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500D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é a qualidade geral dos dados (completude, acurácia)?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1D18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w:t>
            </w:r>
          </w:p>
        </w:tc>
      </w:tr>
      <w:tr w:rsidR="00000000" w14:paraId="409565F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8349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Dados 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B018D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B6F4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ferramentas de MLOps implementadas (versionamento, CI/CD)?</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D2D72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1.89</w:t>
            </w:r>
          </w:p>
        </w:tc>
      </w:tr>
      <w:tr w:rsidR="00000000" w14:paraId="7E52A3E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E746F7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Dados 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3E438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5503A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arquitetura suporta escalabilidade de modelos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1E08B7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2.22</w:t>
            </w:r>
          </w:p>
        </w:tc>
      </w:tr>
      <w:tr w:rsidR="00000000" w14:paraId="47D4E431"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66A8B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Dados 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62449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EF7C0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APIs padronizadas para acesso a dados?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76D4F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2.33</w:t>
            </w:r>
          </w:p>
        </w:tc>
      </w:tr>
      <w:tr w:rsidR="00000000" w14:paraId="7C4F26E4"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D430B2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Dados e Tecnologia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010ECA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54AA8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infraestrutura de computação (GPU/TPU) disponível?</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F1FA6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2.13</w:t>
            </w:r>
          </w:p>
        </w:tc>
      </w:tr>
      <w:tr w:rsidR="00000000" w14:paraId="17B3B88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93F4F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2A40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FE85E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framework de governança de IA definido?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064D7B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2.20</w:t>
            </w:r>
          </w:p>
        </w:tc>
      </w:tr>
      <w:tr w:rsidR="00000000" w14:paraId="129371B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4BA1B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CA94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0B359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conformidade com LGPD/GDPR nos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B7856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2.10</w:t>
            </w:r>
          </w:p>
        </w:tc>
      </w:tr>
      <w:tr w:rsidR="00000000" w14:paraId="35C9B8A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D7E0D4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CF9B6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288C27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comitê de ética em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99FE9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2.10</w:t>
            </w:r>
          </w:p>
        </w:tc>
      </w:tr>
      <w:tr w:rsidR="00000000" w14:paraId="1283E33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6BCF26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9ABFA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5C2BE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processos para identificar e mitigar vieses em modelos?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B010E0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1.80</w:t>
            </w:r>
          </w:p>
        </w:tc>
      </w:tr>
      <w:tr w:rsidR="00000000" w14:paraId="5548C32B"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8B038B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7D14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88A756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gestão de riscos específica para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2C61CB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3224E2D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7419E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Governança e Risco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813294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22391F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auditoria regular dos modelos de IA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A460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1.90</w:t>
            </w:r>
          </w:p>
        </w:tc>
      </w:tr>
      <w:tr w:rsidR="00000000" w14:paraId="4F0EEA4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C1F22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87045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BF41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talentos de IA na equipe (cientistas de dados, engenheiros de ML)?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B35EE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2.78</w:t>
            </w:r>
          </w:p>
        </w:tc>
      </w:tr>
      <w:tr w:rsidR="00000000" w14:paraId="7F9507D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A3D797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6960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960DA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programa de capacitação em IA para funcionários?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39614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2.78</w:t>
            </w:r>
          </w:p>
        </w:tc>
      </w:tr>
      <w:tr w:rsidR="00000000" w14:paraId="77F96384"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5A9C5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62CC2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3601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cultura organizacional é favorável à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E944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3.00</w:t>
            </w:r>
          </w:p>
        </w:tc>
      </w:tr>
      <w:tr w:rsidR="00000000" w14:paraId="413D848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56BB92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0AB3D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67F3E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plano de carreira definido para profissionais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04910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1.57</w:t>
            </w:r>
          </w:p>
        </w:tc>
      </w:tr>
      <w:tr w:rsidR="00000000" w14:paraId="5103D18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011081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70B2F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8ED9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colaboração entre áreas técnicas 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2B310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2.75</w:t>
            </w:r>
          </w:p>
        </w:tc>
      </w:tr>
      <w:tr w:rsidR="00000000" w14:paraId="3D1646B8"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A8ACE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Pessoas e Cultura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100C5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4B709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consegue atrair e reter talentos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CEF8D8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2.63</w:t>
            </w:r>
          </w:p>
        </w:tc>
      </w:tr>
      <w:tr w:rsidR="00000000" w14:paraId="177CFB8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A3DB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B203C3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B2C26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modelos de IA em produção gerando valor?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AD8BA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7F3C3F4B"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0CA045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15747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F20F0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automação de processos com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DA5731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2.10</w:t>
            </w:r>
          </w:p>
        </w:tc>
      </w:tr>
      <w:tr w:rsidR="00000000" w14:paraId="013D7E75"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55524A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E6BA6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D6F7E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SLA definido para modelos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F1AB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1.78</w:t>
            </w:r>
          </w:p>
        </w:tc>
      </w:tr>
      <w:tr w:rsidR="00000000" w14:paraId="79D0036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F28ED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02FEF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F1F33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integração de IA com sistemas legados?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20B628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6941A2B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1F53E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8E24AF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C639A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processo de deploy contínuo para modelos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33FB6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2.22</w:t>
            </w:r>
          </w:p>
        </w:tc>
      </w:tr>
      <w:tr w:rsidR="00000000" w14:paraId="1442BA7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60B6A8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Operações e Processos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F03353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91CFC8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monitoramento de performance dos modelos em produção?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80FE14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1.78</w:t>
            </w:r>
          </w:p>
        </w:tc>
      </w:tr>
      <w:tr w:rsidR="00000000" w14:paraId="3DF4CA9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EF80DF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Inovação e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D3CB9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DA1D49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laboratório ou sandbox para experimentação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64E6B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2.88</w:t>
            </w:r>
          </w:p>
        </w:tc>
      </w:tr>
      <w:tr w:rsidR="00000000" w14:paraId="02C7AE44"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0D965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Inovação e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B4E69D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A403BB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um processo para testar novas ideias de IA rapidamente?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D3EF1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2.50</w:t>
            </w:r>
          </w:p>
        </w:tc>
      </w:tr>
      <w:tr w:rsidR="00000000" w14:paraId="74B0C63E"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7509D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Inovação e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207849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75FB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acompanha e adota novas tecnologias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A4ADA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3.13</w:t>
            </w:r>
          </w:p>
        </w:tc>
      </w:tr>
      <w:tr w:rsidR="00000000" w14:paraId="2A3DFD18"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CB22E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Inovação e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AA49B6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7EB60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colaboração com universidades, startups ou institutos?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D234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1.88</w:t>
            </w:r>
          </w:p>
        </w:tc>
      </w:tr>
      <w:tr w:rsidR="00000000" w14:paraId="04798ABE"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2351A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Inovação e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100DFB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92699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processo para escalar experimentos bem-sucedidos?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0E962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w:t>
            </w:r>
          </w:p>
        </w:tc>
      </w:tr>
      <w:tr w:rsidR="00000000" w14:paraId="3CCE82D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5CC3C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Inovação e Experimentação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74314D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382A7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contribui para a comunidade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58840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1.88</w:t>
            </w:r>
          </w:p>
        </w:tc>
      </w:tr>
      <w:tr w:rsidR="00000000" w14:paraId="6D8776C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97D909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2217E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FBC1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modelo de medição de ROI para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C308C6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55F3391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0E49A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F570A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F0AC4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é o retorno médio sobre investimento dos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20D5E9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1.50</w:t>
            </w:r>
          </w:p>
        </w:tc>
      </w:tr>
      <w:tr w:rsidR="00000000" w14:paraId="3900179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EE257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C3B8F3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3F323C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metodologia para quantificar impacto em receita/custos?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1B147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2.25</w:t>
            </w:r>
          </w:p>
        </w:tc>
      </w:tr>
      <w:tr w:rsidR="00000000" w14:paraId="3BD5AC6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96C3F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9E8C41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B71BF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Projetos de IA estão alinhados com prioridades financeiras?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8B7BC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2.67</w:t>
            </w:r>
          </w:p>
        </w:tc>
      </w:tr>
      <w:tr w:rsidR="00000000" w14:paraId="00402BC5"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449D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5551A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2B145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priorização de projetos baseada em valor?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B92E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w:t>
            </w:r>
          </w:p>
        </w:tc>
      </w:tr>
      <w:tr w:rsidR="00000000" w14:paraId="29A5CBFF"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DBC9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2C5A9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F6DE6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Como a empresa comunica valor da IA para stakeholders?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0C03B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7113B1A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88FB58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C34B9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DC6677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a expectativa de crescimento de receita com IA nos próximos 12 meses?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F7D32D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3.13</w:t>
            </w:r>
          </w:p>
        </w:tc>
      </w:tr>
      <w:tr w:rsidR="00000000" w14:paraId="0832B6C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B9233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de Negócio e ROI</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C7B5B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29321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a expectativa de redução de custos operacionais com IA nos próximos 12 meses?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669A1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3.88</w:t>
            </w:r>
          </w:p>
        </w:tc>
      </w:tr>
      <w:tr w:rsidR="00000000" w14:paraId="5C42C5C1"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C99E5C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0FD6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59998D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utiliza plataformas cloud (AWS, Azure, GCP) para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088D4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3.25</w:t>
            </w:r>
          </w:p>
        </w:tc>
      </w:tr>
      <w:tr w:rsidR="00000000" w14:paraId="77B2AE3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A973A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7C68EC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760629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integração com ferramentas e serviços de terceiros?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B28C0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2.43</w:t>
            </w:r>
          </w:p>
        </w:tc>
      </w:tr>
      <w:tr w:rsidR="00000000" w14:paraId="650DE41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CD2BE1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D241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C2030D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estratégia de make vs. buy para soluções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9FE8A5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1.86</w:t>
            </w:r>
          </w:p>
        </w:tc>
      </w:tr>
      <w:tr w:rsidR="00000000" w14:paraId="03106A2E"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F491A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183EC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D02FC9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parcerias com consultorias, vendors ou startups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6A13F9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2.29</w:t>
            </w:r>
          </w:p>
        </w:tc>
      </w:tr>
      <w:tr w:rsidR="00000000" w14:paraId="7270E12A"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7C62BA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8536F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99B04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consegue integrar rapidamente novas soluções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AF8B62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2.29</w:t>
            </w:r>
          </w:p>
        </w:tc>
      </w:tr>
      <w:tr w:rsidR="00000000" w14:paraId="40F6928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F7AF0C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Ecossistema e Parcerias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74117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1CF7A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processo de avaliação e seleção de parceiros?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F88DF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2.29</w:t>
            </w:r>
          </w:p>
        </w:tc>
      </w:tr>
      <w:tr w:rsidR="00000000" w14:paraId="4C868A2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E60037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71851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0C425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mapeamento de casos de uso de IA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B59BBC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2.10</w:t>
            </w:r>
          </w:p>
        </w:tc>
      </w:tr>
      <w:tr w:rsidR="00000000" w14:paraId="105B4308"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6EDC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0CF3C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3F13A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Cada unidade de negócio tem métricas específicas de valor gerado por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4E568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1.60</w:t>
            </w:r>
          </w:p>
        </w:tc>
      </w:tr>
      <w:tr w:rsidR="00000000" w14:paraId="75B84B5F"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8273B4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1A2DE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5F83E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priorização de investimentos em IA baseada no potencial de valor por unidade?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A5338D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1.80</w:t>
            </w:r>
          </w:p>
        </w:tc>
      </w:tr>
      <w:tr w:rsidR="00000000" w14:paraId="5865203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A306F5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F2CA27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E628A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As unidades de negócio têm autonomia para propor e desenvolver iniciativas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56BECB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2.40</w:t>
            </w:r>
          </w:p>
        </w:tc>
      </w:tr>
      <w:tr w:rsidR="00000000" w14:paraId="1DB19A9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A91C1D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4C6F3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F7D581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compartilhamento de soluções de IA entre unidades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A9DD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16FCCDFF"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845FE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Valor por Unidade de Negócio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E5F307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4D2935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unidade de negócio está mais avançada em IA e serve de referência?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D6AD86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2.50</w:t>
            </w:r>
          </w:p>
        </w:tc>
      </w:tr>
      <w:tr w:rsidR="00000000" w14:paraId="62522F1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777C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1F6551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2BD46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mapeamento quantitativo de profissionais de IA (Data Scientists, ML Engineers, Data Engineers)?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81882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2.11</w:t>
            </w:r>
          </w:p>
        </w:tc>
      </w:tr>
      <w:tr w:rsidR="00000000" w14:paraId="7CB9D43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5E5723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5BF1F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5F455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análise de gap entre capacidades atuais e necessidades futuras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9F4BB1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1.56</w:t>
            </w:r>
          </w:p>
        </w:tc>
      </w:tr>
      <w:tr w:rsidR="00000000" w14:paraId="746A414A"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010308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229B5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AEFCF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estratégia clara de Build vs. Buy vs. Borrow para talentos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2BE12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1.67</w:t>
            </w:r>
          </w:p>
        </w:tc>
      </w:tr>
      <w:tr w:rsidR="00000000" w14:paraId="418A6AAB"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B57B67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F007D9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0DF4C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programa estruturado de upskilling/reskilling em IA para colaboradores existentes?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187606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2.33</w:t>
            </w:r>
          </w:p>
        </w:tc>
      </w:tr>
      <w:tr w:rsidR="00000000" w14:paraId="190C013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2B09B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C21D1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876E73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nível de senioridade da equipe de IA (júnior, pleno, sênior, especialista)?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9025E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2.11</w:t>
            </w:r>
          </w:p>
        </w:tc>
      </w:tr>
      <w:tr w:rsidR="00000000" w14:paraId="146C276B"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97681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80C3F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1E9FE5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papéis especializados além de Data Scientist (MLOps, AI Ethics, AI Product Manager)?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8CF51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1.89</w:t>
            </w:r>
          </w:p>
        </w:tc>
      </w:tr>
      <w:tr w:rsidR="00000000" w14:paraId="68786BB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430FC5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64C92D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2A946E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métricas de produtividade e efetividade da equipe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311445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7C714B7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EC933B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Talentos e Capacidades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7D173A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94DCF4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a taxa de turnover da equipe de IA e como se compara ao mercado?</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9152D2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3.11</w:t>
            </w:r>
          </w:p>
        </w:tc>
      </w:tr>
      <w:tr w:rsidR="00000000" w14:paraId="735D98FE"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169E7F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6F46AE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B63C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mapeamento completo de regulações aplicáveis à IA na organização?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36C62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3DAC592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8C330A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32E2B3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3BDD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conformidade documentada com LGPD/GDPR em todos os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CA5BF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1.67</w:t>
            </w:r>
          </w:p>
        </w:tc>
      </w:tr>
      <w:tr w:rsidR="00000000" w14:paraId="78940ED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7E5611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5C9CDF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9EEB80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As regulações setoriais específicas são consideradas nos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616825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1.83</w:t>
            </w:r>
          </w:p>
        </w:tc>
      </w:tr>
      <w:tr w:rsidR="00000000" w14:paraId="33B8041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30B0F6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A5A911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F7D4C2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preparação para regulações emergentes de IA (EU AI Act, regulações de algoritmos)?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4DED5A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1.40</w:t>
            </w:r>
          </w:p>
        </w:tc>
      </w:tr>
      <w:tr w:rsidR="00000000" w14:paraId="4FDFCE6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81FA0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622BF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F3EB1B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documentação de explicabilidade e transparência dos modelos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334E91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1.83</w:t>
            </w:r>
          </w:p>
        </w:tc>
      </w:tr>
      <w:tr w:rsidR="00000000" w14:paraId="0BB2537B"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7FD5F2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E37C43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70420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processos de auditoria de conformidade regulatória em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9A21FF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1.33</w:t>
            </w:r>
          </w:p>
        </w:tc>
      </w:tr>
      <w:tr w:rsidR="00000000" w14:paraId="5DACD4F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3940F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67F29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6E2CF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gestão de riscos regulatórios com planos de mitigação documentados?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C08B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1.17</w:t>
            </w:r>
          </w:p>
        </w:tc>
      </w:tr>
      <w:tr w:rsidR="00000000" w14:paraId="347455E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724F2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Conformidade Regulatória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E53AC6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0A342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área jurídica/compliance está capacitada e envolvida em projetos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17F874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1.33</w:t>
            </w:r>
          </w:p>
        </w:tc>
      </w:tr>
      <w:tr w:rsidR="00000000" w14:paraId="5982D9E7"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E0F51F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CC901B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652D8B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consciência organizacional sobre a necessidade de mudança para adoção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350B02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2.92</w:t>
            </w:r>
          </w:p>
        </w:tc>
      </w:tr>
      <w:tr w:rsidR="00000000" w14:paraId="43A0611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EE57E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1AFCCE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53ACE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desejo e motivação dos colaboradores para participar da transformação com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51CF9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3.50</w:t>
            </w:r>
          </w:p>
        </w:tc>
      </w:tr>
      <w:tr w:rsidR="00000000" w14:paraId="6DD1023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AB86D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53FE3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14BFCD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mapeamento de resistências por área, nível hierárquico ou perfil?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B307A4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1.82</w:t>
            </w:r>
          </w:p>
        </w:tc>
      </w:tr>
      <w:tr w:rsidR="00000000" w14:paraId="2158A2C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64FC5C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6391F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FE300A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uma rede de agentes de mudança ou champions de IA nas áreas?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29BE2C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2.64</w:t>
            </w:r>
          </w:p>
        </w:tc>
      </w:tr>
      <w:tr w:rsidR="00000000" w14:paraId="5EA309F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06A3B2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6C5F9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69B4F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capacidade organizacional (tempo, recursos) para absorver mudanças?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4254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2.91</w:t>
            </w:r>
          </w:p>
        </w:tc>
      </w:tr>
      <w:tr w:rsidR="00000000" w14:paraId="4939973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FC1888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E9F16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8330C4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mecanismos para sustentar e reforçar as mudanças implementadas?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96BD79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2.36</w:t>
            </w:r>
          </w:p>
        </w:tc>
      </w:tr>
      <w:tr w:rsidR="00000000" w14:paraId="32F3B48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16BD68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111CAF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2A3477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liderança intermediária (gerentes, coordenadores) apoia ativamente as mudanças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CFA21E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3.45</w:t>
            </w:r>
          </w:p>
        </w:tc>
      </w:tr>
      <w:tr w:rsidR="00000000" w14:paraId="0F2C344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A61511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Prontidão para Mudança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270EC7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12BAC6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 plano estruturado de gestão de mudança para iniciativas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380CC5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2.09</w:t>
            </w:r>
          </w:p>
        </w:tc>
      </w:tr>
      <w:tr w:rsidR="00000000" w14:paraId="2BC96A9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DDE0EE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como Gerador de Receita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AEEE44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9B927C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monetiza suas capacidades de IA vendendo serviços ou produtos para terceiros?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F37D3E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2.82</w:t>
            </w:r>
          </w:p>
        </w:tc>
      </w:tr>
      <w:tr w:rsidR="00000000" w14:paraId="774063E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90AC74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como Gerador de Receita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D8B868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CB572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novos modelos de negócio ou linhas de receita baseados exclusivamente em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7F9DA8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2.82</w:t>
            </w:r>
          </w:p>
        </w:tc>
      </w:tr>
      <w:tr w:rsidR="00000000" w14:paraId="1411A2B8"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C46458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como Gerador de Receita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EE5279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82C17C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oferece "IA as a Service" (AIaaS) para clientes ou parceiros?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E9924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2.30</w:t>
            </w:r>
          </w:p>
        </w:tc>
      </w:tr>
      <w:tr w:rsidR="00000000" w14:paraId="71C256A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9C280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como Gerador de Receita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B8CE2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4C9120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percentual da receita total é atribuído diretamente a produtos/serviços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0C4321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2.20</w:t>
            </w:r>
          </w:p>
        </w:tc>
      </w:tr>
      <w:tr w:rsidR="00000000" w14:paraId="784C61E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783044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como Gerador de Receita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848203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209951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possui propriedade intelectual (patentes, modelos proprietários) em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A927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1.70</w:t>
            </w:r>
          </w:p>
        </w:tc>
      </w:tr>
      <w:tr w:rsidR="00000000" w14:paraId="2B7F11C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554097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IA como Gerador de Receita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3FC2FD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CC5010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vendedores/consultores treinados para vender soluções de IA para clientes?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CC48DC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2.09</w:t>
            </w:r>
          </w:p>
        </w:tc>
      </w:tr>
      <w:tr w:rsidR="00000000" w14:paraId="1F44C66A"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4D927D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9DAB10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5C5794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uma plataforma centralizada de IA para desenvolvimento, deploy e monitoramento de modelos?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3C9C98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w:t>
            </w:r>
          </w:p>
        </w:tc>
      </w:tr>
      <w:tr w:rsidR="00000000" w14:paraId="029494D4"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C7C94E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269CEF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036B50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arquitetura para reuso de modelos e componentes de IA entre projetos?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DCB7D5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w:t>
            </w:r>
          </w:p>
        </w:tc>
      </w:tr>
      <w:tr w:rsidR="00000000" w14:paraId="0738BE0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1E46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9792EA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8FEEE9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dashboards de negócio que mostram o valor gerado pela IA em tempo real?</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7140CB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6D87264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6DF859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81594C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EFA623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tem capacidade de colocar modelos em produção em dias (não semanas/meses)?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697182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2.75</w:t>
            </w:r>
          </w:p>
        </w:tc>
      </w:tr>
      <w:tr w:rsidR="00000000" w14:paraId="2D6B12D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4D53B6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354B9C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4670B2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padronização de frameworks, bibliotecas e tecnologias de IA na organização?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023186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2.38</w:t>
            </w:r>
          </w:p>
        </w:tc>
      </w:tr>
      <w:tr w:rsidR="00000000" w14:paraId="5F5460B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FBE6E2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795139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1DECC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 orquestração de pipelines de dados e ML de ponta a ponta?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010CB4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1.71</w:t>
            </w:r>
          </w:p>
        </w:tc>
      </w:tr>
      <w:tr w:rsidR="00000000" w14:paraId="7B24D049"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0EAC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4F91BE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AF312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Quantos experimentos/PoCs de IA são executados por ano na organização?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2FD51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1.88</w:t>
            </w:r>
          </w:p>
        </w:tc>
      </w:tr>
      <w:tr w:rsidR="00000000" w14:paraId="2DAA816D"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E576E2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Plataforma e Industrialização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B292B0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5647E1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impacto econômico total quantificado dos projetos de IA (em R$ ou US$)?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B46FED2"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1.63</w:t>
            </w:r>
          </w:p>
        </w:tc>
      </w:tr>
      <w:tr w:rsidR="00000000" w14:paraId="041FA31F"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13402D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35E06E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93C0ED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nível de maturidade em IA Analítica/Tradicional (ML clássico, estatística, previsões)?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010EB4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1.88</w:t>
            </w:r>
          </w:p>
        </w:tc>
      </w:tr>
      <w:tr w:rsidR="00000000" w14:paraId="1A3B8225"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CC18DF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86F1A7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95603E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nível de maturidade em IA Generativa (LLMs, geração de texto/código/imagem)?</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3E02D6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2.88</w:t>
            </w:r>
          </w:p>
        </w:tc>
      </w:tr>
      <w:tr w:rsidR="00000000" w14:paraId="3783FA71"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7FC8D3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EC29DF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3414D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nível de maturidade em IA Agêntica (agentes autônomos, multi-agent systems)?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80FF70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3.13</w:t>
            </w:r>
          </w:p>
        </w:tc>
      </w:tr>
      <w:tr w:rsidR="00000000" w14:paraId="2247094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D2B9E6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D69086B"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174EEB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nível de maturidade em IA Robótica (RPA cognitivo, automação física, robôs)?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DF81B9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2.13</w:t>
            </w:r>
          </w:p>
        </w:tc>
      </w:tr>
      <w:tr w:rsidR="00000000" w14:paraId="04ED2342"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A3AF28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27819A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347D4D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consegue combinar múltiplos tipos de IA em soluções integradas?</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461A95A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2.25</w:t>
            </w:r>
          </w:p>
        </w:tc>
      </w:tr>
      <w:tr w:rsidR="00000000" w14:paraId="6605798F"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86E55C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BDE3D2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DC533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Há roadmap claro de evolução para cada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A7217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2.00</w:t>
            </w:r>
          </w:p>
        </w:tc>
      </w:tr>
      <w:tr w:rsidR="00000000" w14:paraId="4CF913BE"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B15633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8C80B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Q7</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F329B7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Existem especialistas dedicados para cada tipo de IA na organização?</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0382D38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2.63</w:t>
            </w:r>
          </w:p>
        </w:tc>
      </w:tr>
      <w:tr w:rsidR="00000000" w14:paraId="7BC2634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A7740F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Maturidade por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C04B8A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Q8</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C2D700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empresa monitora e avalia novas tecnologias em cada tipo de 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62EC82D"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2.63</w:t>
            </w:r>
          </w:p>
        </w:tc>
      </w:tr>
      <w:tr w:rsidR="00000000" w14:paraId="3B1A831F"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B6686A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48D756"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Q1</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079E545"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a eficácia da IA em melhorar as OPERAÇÕES da empresa (eficiência, produtividade, qualidade)?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F5D5889"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3.50</w:t>
            </w:r>
          </w:p>
        </w:tc>
      </w:tr>
      <w:tr w:rsidR="00000000" w14:paraId="29F7944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0324FFC7"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751BA8"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Q2</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0B2D5D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a eficácia da IA em melhorar a EXPERIÊNCIA DO CLIENTE (satisfação, personalização, velocidade)?</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77C3B4A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3.00</w:t>
            </w:r>
          </w:p>
        </w:tc>
      </w:tr>
      <w:tr w:rsidR="00000000" w14:paraId="6900D8FC"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19FF9D6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45D101"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Q3</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576FFEB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a eficácia da IA em suportar e desenvolver o ECOSSISTEMA (parceiros, fornecedores, comunidade)?</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E8C575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2.86</w:t>
            </w:r>
          </w:p>
        </w:tc>
      </w:tr>
      <w:tr w:rsidR="00000000" w14:paraId="15BA7ED6"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09136F4"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3DF60EB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Q4</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239EBDA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A IA está EMBUTIDA nas decisões estratégicas e operacionais do dia a dia?</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BDD596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2.14</w:t>
            </w:r>
          </w:p>
        </w:tc>
      </w:tr>
      <w:tr w:rsidR="00000000" w14:paraId="3ACF6313"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EA08BB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601DD41C"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Q5</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735F1913"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Os modelos de IA atendem aos SLAs de negócio (disponibilidade, latência, acurácia)?</w:t>
            </w:r>
          </w:p>
        </w:tc>
        <w:tc>
          <w:tcPr>
            <w:tcW w:w="0" w:type="auto"/>
            <w:tcBorders>
              <w:top w:val="single" w:sz="6" w:space="0" w:color="E9D5FF"/>
              <w:left w:val="single" w:sz="6" w:space="0" w:color="E9D5FF"/>
              <w:bottom w:val="single" w:sz="6" w:space="0" w:color="E9D5FF"/>
              <w:right w:val="single" w:sz="6" w:space="0" w:color="E9D5FF"/>
            </w:tcBorders>
            <w:shd w:val="clear" w:color="auto" w:fill="FFFFFF"/>
            <w:tcMar>
              <w:top w:w="140" w:type="dxa"/>
              <w:left w:w="200" w:type="dxa"/>
              <w:bottom w:w="140" w:type="dxa"/>
              <w:right w:w="200" w:type="dxa"/>
            </w:tcMar>
            <w:hideMark/>
          </w:tcPr>
          <w:p w14:paraId="2251E51E"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2.14</w:t>
            </w:r>
          </w:p>
        </w:tc>
      </w:tr>
      <w:tr w:rsidR="00000000" w14:paraId="65FC6940" w14:textId="77777777">
        <w:trPr>
          <w:divId w:val="2089228025"/>
        </w:trPr>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4118AC10"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Eficácia de IA (MIT CISR)</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6A8DCBAF"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Q6</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5CCBEBA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Qual o nível de satisfação dos usuários internos com as ferramentas de IA disponíveis?</w:t>
            </w:r>
          </w:p>
        </w:tc>
        <w:tc>
          <w:tcPr>
            <w:tcW w:w="0" w:type="auto"/>
            <w:tcBorders>
              <w:top w:val="single" w:sz="6" w:space="0" w:color="E9D5FF"/>
              <w:left w:val="single" w:sz="6" w:space="0" w:color="E9D5FF"/>
              <w:bottom w:val="single" w:sz="6" w:space="0" w:color="E9D5FF"/>
              <w:right w:val="single" w:sz="6" w:space="0" w:color="E9D5FF"/>
            </w:tcBorders>
            <w:shd w:val="clear" w:color="auto" w:fill="FAF5FF"/>
            <w:tcMar>
              <w:top w:w="140" w:type="dxa"/>
              <w:left w:w="200" w:type="dxa"/>
              <w:bottom w:w="140" w:type="dxa"/>
              <w:right w:w="200" w:type="dxa"/>
            </w:tcMar>
            <w:hideMark/>
          </w:tcPr>
          <w:p w14:paraId="161CB29A" w14:textId="77777777" w:rsidR="00000000" w:rsidRDefault="00000000">
            <w:pPr>
              <w:spacing w:before="240" w:after="240"/>
              <w:rPr>
                <w:rFonts w:ascii="Calibri" w:eastAsia="Times New Roman" w:hAnsi="Calibri" w:cs="Calibri"/>
                <w:color w:val="1E293B"/>
                <w:sz w:val="21"/>
                <w:szCs w:val="21"/>
              </w:rPr>
            </w:pPr>
            <w:r>
              <w:rPr>
                <w:rFonts w:ascii="Calibri" w:eastAsia="Times New Roman" w:hAnsi="Calibri" w:cs="Calibri"/>
                <w:color w:val="1E293B"/>
                <w:sz w:val="21"/>
                <w:szCs w:val="21"/>
              </w:rPr>
              <w:t>2.71</w:t>
            </w:r>
          </w:p>
        </w:tc>
      </w:tr>
    </w:tbl>
    <w:p w14:paraId="1F5EBC01" w14:textId="77777777" w:rsidR="00000000" w:rsidRDefault="00000000">
      <w:pPr>
        <w:pStyle w:val="NormalWeb"/>
        <w:shd w:val="clear" w:color="auto" w:fill="FAF5FF"/>
        <w:spacing w:before="0" w:beforeAutospacing="0" w:after="120" w:afterAutospacing="0"/>
        <w:divId w:val="1388341178"/>
        <w:rPr>
          <w:rFonts w:ascii="Calibri" w:hAnsi="Calibri" w:cs="Calibri"/>
          <w:i/>
          <w:iCs/>
          <w:color w:val="581C87"/>
          <w:sz w:val="22"/>
          <w:szCs w:val="22"/>
        </w:rPr>
      </w:pPr>
      <w:r>
        <w:rPr>
          <w:rStyle w:val="Forte"/>
          <w:rFonts w:ascii="Calibri" w:hAnsi="Calibri" w:cs="Calibri"/>
          <w:i/>
          <w:iCs/>
          <w:color w:val="581C87"/>
          <w:sz w:val="22"/>
          <w:szCs w:val="22"/>
        </w:rPr>
        <w:t>Total de perguntas avaliadas:</w:t>
      </w:r>
      <w:r>
        <w:rPr>
          <w:rFonts w:ascii="Calibri" w:hAnsi="Calibri" w:cs="Calibri"/>
          <w:i/>
          <w:iCs/>
          <w:color w:val="581C87"/>
          <w:sz w:val="22"/>
          <w:szCs w:val="22"/>
        </w:rPr>
        <w:t xml:space="preserve"> 102 · </w:t>
      </w:r>
      <w:r>
        <w:rPr>
          <w:rStyle w:val="Forte"/>
          <w:rFonts w:ascii="Calibri" w:hAnsi="Calibri" w:cs="Calibri"/>
          <w:i/>
          <w:iCs/>
          <w:color w:val="581C87"/>
          <w:sz w:val="22"/>
          <w:szCs w:val="22"/>
        </w:rPr>
        <w:t>Score geral consolidado:</w:t>
      </w:r>
      <w:r>
        <w:rPr>
          <w:rFonts w:ascii="Calibri" w:hAnsi="Calibri" w:cs="Calibri"/>
          <w:i/>
          <w:iCs/>
          <w:color w:val="581C87"/>
          <w:sz w:val="22"/>
          <w:szCs w:val="22"/>
        </w:rPr>
        <w:t xml:space="preserve"> 2.31 · </w:t>
      </w:r>
      <w:r>
        <w:rPr>
          <w:rStyle w:val="Forte"/>
          <w:rFonts w:ascii="Calibri" w:hAnsi="Calibri" w:cs="Calibri"/>
          <w:i/>
          <w:iCs/>
          <w:color w:val="581C87"/>
          <w:sz w:val="22"/>
          <w:szCs w:val="22"/>
        </w:rPr>
        <w:t>Avaliadores incluídos:</w:t>
      </w:r>
      <w:r>
        <w:rPr>
          <w:rFonts w:ascii="Calibri" w:hAnsi="Calibri" w:cs="Calibri"/>
          <w:i/>
          <w:iCs/>
          <w:color w:val="581C87"/>
          <w:sz w:val="22"/>
          <w:szCs w:val="22"/>
        </w:rPr>
        <w:t xml:space="preserve"> 15 (prioridade 1)</w:t>
      </w:r>
    </w:p>
    <w:p w14:paraId="105F409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2C2A43F">
          <v:rect id="_x0000_i1042" alt="" style="width:425.2pt;height:.05pt;mso-width-percent:0;mso-height-percent:0;mso-width-percent:0;mso-height-percent:0" o:hralign="center" o:hrstd="t" o:hr="t" fillcolor="#a0a0a0" stroked="f"/>
        </w:pict>
      </w:r>
    </w:p>
    <w:p w14:paraId="313DAC9C"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Apêndice D — Bibliografia e Próximas Leituras Recomendadas</w:t>
      </w:r>
    </w:p>
    <w:p w14:paraId="2613A8A7"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As referências abaixo cobrem os principais frameworks, pesquisas acadêmicas e obras práticas que fundamentam as análises, recomendações e benchmarks apresentados neste book de trabalho. Estão organizadas por categoria temática para facilitar a consulta.</w:t>
      </w:r>
    </w:p>
    <w:p w14:paraId="5B39C930"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8A15CB8">
          <v:rect id="_x0000_i1041" alt="" style="width:425.2pt;height:.05pt;mso-width-percent:0;mso-height-percent:0;mso-width-percent:0;mso-height-percent:0" o:hralign="center" o:hrstd="t" o:hr="t" fillcolor="#a0a0a0" stroked="f"/>
        </w:pict>
      </w:r>
    </w:p>
    <w:p w14:paraId="52E80AF5"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Maturidade em IA e Estratégia Empresarial</w:t>
      </w:r>
    </w:p>
    <w:p w14:paraId="2AF92EA6"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1. MIT CISR — "Building Enterprise AI Maturity" (Research Briefing, 2024) e "Grow Enterprise AI Maturity…" (2025)</w:t>
      </w:r>
      <w:r>
        <w:rPr>
          <w:rFonts w:ascii="Calibri" w:hAnsi="Calibri" w:cs="Calibri"/>
          <w:color w:val="1E293B"/>
          <w:sz w:val="22"/>
          <w:szCs w:val="22"/>
        </w:rPr>
        <w:t xml:space="preserve"> Autores: Kristine Dery, Ina M. Sebastian e equipe MIT CISR. Fonte oficial: </w:t>
      </w:r>
      <w:hyperlink r:id="rId5" w:history="1">
        <w:r>
          <w:rPr>
            <w:rStyle w:val="Hyperlink"/>
            <w:rFonts w:ascii="Calibri" w:hAnsi="Calibri" w:cs="Calibri"/>
            <w:color w:val="2563EB"/>
            <w:sz w:val="22"/>
            <w:szCs w:val="22"/>
          </w:rPr>
          <w:t>cisr.mit.edu</w:t>
        </w:r>
      </w:hyperlink>
      <w:r>
        <w:rPr>
          <w:rFonts w:ascii="Calibri" w:hAnsi="Calibri" w:cs="Calibri"/>
          <w:color w:val="1E293B"/>
          <w:sz w:val="22"/>
          <w:szCs w:val="22"/>
        </w:rPr>
        <w:t xml:space="preserve"> A fonte primária do modelo de quatro estágios (Experiment and Prepare → AI Future Ready) e das faixas de ROI por nível de maturidade que embasam as projeções financeiras deste relatório.</w:t>
      </w:r>
    </w:p>
    <w:p w14:paraId="347F616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2. "Competing in the Age of AI: Strategy and Leadership When Algorithms and Networks Run the World"</w:t>
      </w:r>
      <w:r>
        <w:rPr>
          <w:rFonts w:ascii="Calibri" w:hAnsi="Calibri" w:cs="Calibri"/>
          <w:color w:val="1E293B"/>
          <w:sz w:val="22"/>
          <w:szCs w:val="22"/>
        </w:rPr>
        <w:t xml:space="preserve"> Autores: Marco Iansiti &amp; Karim R. Lakhani. Harvard Business Review Press, 2020. Referência canônica sobre como empresas de tecnologia estruturam seus modelos operacionais em torno de IA, com casos de escala e modularidade — especialmente relevante para o contexto de uma tech company de grande porte como a Empresa Teste Maturidade IA.</w:t>
      </w:r>
    </w:p>
    <w:p w14:paraId="15C7C698"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3. "Power and Prediction: The Disruptive Economics of Artificial Intelligence"</w:t>
      </w:r>
      <w:r>
        <w:rPr>
          <w:rFonts w:ascii="Calibri" w:hAnsi="Calibri" w:cs="Calibri"/>
          <w:color w:val="1E293B"/>
          <w:sz w:val="22"/>
          <w:szCs w:val="22"/>
        </w:rPr>
        <w:t xml:space="preserve"> Autores: Ajay Agrawal, Joshua Gans &amp; Avi Goldfarb. Harvard Business Review Press, 2022. Explora como IA redistribui poder de decisão dentro das organizações e entre setores, oferecendo vocabulário econômico preciso para mensurar valor e risco de adoção.</w:t>
      </w:r>
    </w:p>
    <w:p w14:paraId="2C1A6E7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4676E3B">
          <v:rect id="_x0000_i1040" alt="" style="width:425.2pt;height:.05pt;mso-width-percent:0;mso-height-percent:0;mso-width-percent:0;mso-height-percent:0" o:hralign="center" o:hrstd="t" o:hr="t" fillcolor="#a0a0a0" stroked="f"/>
        </w:pict>
      </w:r>
    </w:p>
    <w:p w14:paraId="0D0C9C62"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MLOps, Plataformas e Industrialização</w:t>
      </w:r>
    </w:p>
    <w:p w14:paraId="37D8043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4. "Designing Machine Learning Systems: An Iterative Process for Production-Ready Applications"</w:t>
      </w:r>
      <w:r>
        <w:rPr>
          <w:rFonts w:ascii="Calibri" w:hAnsi="Calibri" w:cs="Calibri"/>
          <w:color w:val="1E293B"/>
          <w:sz w:val="22"/>
          <w:szCs w:val="22"/>
        </w:rPr>
        <w:t xml:space="preserve"> Autora: Chip Huyen. O'Reilly Media, 2022. Guia técnico-estratégico sobre ciclo de vida de modelos em produção — feature engineering, monitoramento, data drift e SLAs —, diretamente aplicável às lacunas identificadas nas dimensões Operações e Processos e Plataforma e Industrialização de IA.</w:t>
      </w:r>
    </w:p>
    <w:p w14:paraId="752676B0"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5. "Introducing MLOps: How to Scale Machine Learning in the Enterprise"</w:t>
      </w:r>
      <w:r>
        <w:rPr>
          <w:rFonts w:ascii="Calibri" w:hAnsi="Calibri" w:cs="Calibri"/>
          <w:color w:val="1E293B"/>
          <w:sz w:val="22"/>
          <w:szCs w:val="22"/>
        </w:rPr>
        <w:t xml:space="preserve"> Autores: Mark Treveil et al. O'Reilly Media, 2020. Cobre pipelines de CI/CD para modelos, versionamento, reproducibilidade e governança operacional; serve como referência para estruturar o roadmap de MLOps recomendado neste book.</w:t>
      </w:r>
    </w:p>
    <w:p w14:paraId="5FA42D6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6. DORA (DevOps Research and Assessment) — "State of DevOps Report" (edição mais recente)</w:t>
      </w:r>
      <w:r>
        <w:rPr>
          <w:rFonts w:ascii="Calibri" w:hAnsi="Calibri" w:cs="Calibri"/>
          <w:color w:val="1E293B"/>
          <w:sz w:val="22"/>
          <w:szCs w:val="22"/>
        </w:rPr>
        <w:t xml:space="preserve"> Fonte: </w:t>
      </w:r>
      <w:hyperlink r:id="rId6" w:history="1">
        <w:r>
          <w:rPr>
            <w:rStyle w:val="Hyperlink"/>
            <w:rFonts w:ascii="Calibri" w:hAnsi="Calibri" w:cs="Calibri"/>
            <w:color w:val="2563EB"/>
            <w:sz w:val="22"/>
            <w:szCs w:val="22"/>
          </w:rPr>
          <w:t>dora.dev</w:t>
        </w:r>
      </w:hyperlink>
      <w:r>
        <w:rPr>
          <w:rFonts w:ascii="Calibri" w:hAnsi="Calibri" w:cs="Calibri"/>
          <w:color w:val="1E293B"/>
          <w:sz w:val="22"/>
          <w:szCs w:val="22"/>
        </w:rPr>
        <w:t xml:space="preserve"> Benchmark de referência para medir velocity e estabilidade de entrega; as métricas DORA (deployment frequency, lead time for changes, MTTR, change failure rate) são diretamente adaptáveis ao contexto de deploy contínuo de modelos de IA.</w:t>
      </w:r>
    </w:p>
    <w:p w14:paraId="386FB99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A19EE7A">
          <v:rect id="_x0000_i1039" alt="" style="width:425.2pt;height:.05pt;mso-width-percent:0;mso-height-percent:0;mso-width-percent:0;mso-height-percent:0" o:hralign="center" o:hrstd="t" o:hr="t" fillcolor="#a0a0a0" stroked="f"/>
        </w:pict>
      </w:r>
    </w:p>
    <w:p w14:paraId="312FAD8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Governança, Risco e Conformidade Regulatória</w:t>
      </w:r>
    </w:p>
    <w:p w14:paraId="0D20B517"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7. NIST — "Artificial Intelligence Risk Management Framework (AI RMF 1.0)"</w:t>
      </w:r>
      <w:r>
        <w:rPr>
          <w:rFonts w:ascii="Calibri" w:hAnsi="Calibri" w:cs="Calibri"/>
          <w:color w:val="1E293B"/>
          <w:sz w:val="22"/>
          <w:szCs w:val="22"/>
        </w:rPr>
        <w:t xml:space="preserve"> Publicado pelo National Institute of Standards and Technology, 2023. Fonte: </w:t>
      </w:r>
      <w:hyperlink r:id="rId7" w:history="1">
        <w:r>
          <w:rPr>
            <w:rStyle w:val="Hyperlink"/>
            <w:rFonts w:ascii="Calibri" w:hAnsi="Calibri" w:cs="Calibri"/>
            <w:color w:val="2563EB"/>
            <w:sz w:val="22"/>
            <w:szCs w:val="22"/>
          </w:rPr>
          <w:t>nist.gov/system/files/documents/2023/01/26/NIST-AI-RMF-1.0.pdf</w:t>
        </w:r>
      </w:hyperlink>
      <w:r>
        <w:rPr>
          <w:rFonts w:ascii="Calibri" w:hAnsi="Calibri" w:cs="Calibri"/>
          <w:color w:val="1E293B"/>
          <w:sz w:val="22"/>
          <w:szCs w:val="22"/>
        </w:rPr>
        <w:t xml:space="preserve"> Framework estruturado para identificar, avaliar e mitigar riscos de IA — incluindo viés algorítmico, explicabilidade e segurança —, base das recomendações de Governança e Conformidade Regulatória deste relatório.</w:t>
      </w:r>
    </w:p>
    <w:p w14:paraId="3ACFEACE"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8. European Parliament — "EU Artificial Intelligence Act" (Regulamento (UE) 2024/1689)</w:t>
      </w:r>
      <w:r>
        <w:rPr>
          <w:rFonts w:ascii="Calibri" w:hAnsi="Calibri" w:cs="Calibri"/>
          <w:color w:val="1E293B"/>
          <w:sz w:val="22"/>
          <w:szCs w:val="22"/>
        </w:rPr>
        <w:t xml:space="preserve"> Fonte: </w:t>
      </w:r>
      <w:hyperlink r:id="rId8" w:history="1">
        <w:r>
          <w:rPr>
            <w:rStyle w:val="Hyperlink"/>
            <w:rFonts w:ascii="Calibri" w:hAnsi="Calibri" w:cs="Calibri"/>
            <w:color w:val="2563EB"/>
            <w:sz w:val="22"/>
            <w:szCs w:val="22"/>
          </w:rPr>
          <w:t>artificialintelligenceact.eu</w:t>
        </w:r>
      </w:hyperlink>
      <w:r>
        <w:rPr>
          <w:rFonts w:ascii="Calibri" w:hAnsi="Calibri" w:cs="Calibri"/>
          <w:color w:val="1E293B"/>
          <w:sz w:val="22"/>
          <w:szCs w:val="22"/>
        </w:rPr>
        <w:t xml:space="preserve"> Primeira legislação abrangente de IA do mundo, com classificação de sistemas por nível de risco; essencial para preparação regulatória, especialmente dado o gap crítico (score 1.40) identificado na dimensão de Conformidade Regulatória.</w:t>
      </w:r>
    </w:p>
    <w:p w14:paraId="556FA432"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D195C15">
          <v:rect id="_x0000_i1038" alt="" style="width:425.2pt;height:.05pt;mso-width-percent:0;mso-height-percent:0;mso-width-percent:0;mso-height-percent:0" o:hralign="center" o:hrstd="t" o:hr="t" fillcolor="#a0a0a0" stroked="f"/>
        </w:pict>
      </w:r>
    </w:p>
    <w:p w14:paraId="36FAF751"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Gestão de Mudança e Cultura Organizacional</w:t>
      </w:r>
    </w:p>
    <w:p w14:paraId="54EEC082"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9. "Leading Change"</w:t>
      </w:r>
      <w:r>
        <w:rPr>
          <w:rFonts w:ascii="Calibri" w:hAnsi="Calibri" w:cs="Calibri"/>
          <w:color w:val="1E293B"/>
          <w:sz w:val="22"/>
          <w:szCs w:val="22"/>
        </w:rPr>
        <w:t xml:space="preserve"> Autor: John P. Kotter. Harvard Business Review Press, edição atualizada 2012. O modelo de 8 etapas de Kotter oferece estrutura prática para os programas de change management recomendados na dimensão Prontidão para Mudança — em particular para converter o engajamento da liderança intermediária (score 3.45) em velocidade de adoção.</w:t>
      </w:r>
    </w:p>
    <w:p w14:paraId="665C0C2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31E4CF6">
          <v:rect id="_x0000_i1037" alt="" style="width:425.2pt;height:.05pt;mso-width-percent:0;mso-height-percent:0;mso-width-percent:0;mso-height-percent:0" o:hralign="center" o:hrstd="t" o:hr="t" fillcolor="#a0a0a0" stroked="f"/>
        </w:pict>
      </w:r>
    </w:p>
    <w:p w14:paraId="744AEE3C"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IA Generativa e Tendências Emergentes</w:t>
      </w:r>
    </w:p>
    <w:p w14:paraId="79A26B3B"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10. "The AI-First Company: How to Compete and Win with Artificial Intelligence"</w:t>
      </w:r>
      <w:r>
        <w:rPr>
          <w:rFonts w:ascii="Calibri" w:hAnsi="Calibri" w:cs="Calibri"/>
          <w:color w:val="1E293B"/>
          <w:sz w:val="22"/>
          <w:szCs w:val="22"/>
        </w:rPr>
        <w:t xml:space="preserve"> Autor: Ash Fontana. Portfolio/Penguin, 2021. Aborda como construir vantagens competitivas sustentáveis a partir de dados proprietários e ciclos de feedback de IA — alinha-se diretamente com as dimensões IA como Gerador de Receita e Maturidade por Tipo de IA, especialmente no contexto de IA Generativa e Agêntica, onde a Empresa Teste Maturidade IA já demonstra maturidade relativa superior (scores 2.88 e 3.13 respectivamente).</w:t>
      </w:r>
    </w:p>
    <w:p w14:paraId="66F8A4CD"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425A2F76">
          <v:rect id="_x0000_i1036" alt="" style="width:425.2pt;height:.05pt;mso-width-percent:0;mso-height-percent:0;mso-width-percent:0;mso-height-percent:0" o:hralign="center" o:hrstd="t" o:hr="t" fillcolor="#a0a0a0" stroked="f"/>
        </w:pict>
      </w:r>
    </w:p>
    <w:p w14:paraId="6BD73BBD" w14:textId="77777777" w:rsidR="00000000" w:rsidRDefault="00000000">
      <w:pPr>
        <w:pStyle w:val="NormalWeb"/>
        <w:shd w:val="clear" w:color="auto" w:fill="FAF5FF"/>
        <w:spacing w:before="0" w:beforeAutospacing="0" w:after="120" w:afterAutospacing="0"/>
        <w:divId w:val="53242133"/>
        <w:rPr>
          <w:rFonts w:ascii="Calibri" w:hAnsi="Calibri" w:cs="Calibri"/>
          <w:i/>
          <w:iCs/>
          <w:color w:val="581C87"/>
          <w:sz w:val="22"/>
          <w:szCs w:val="22"/>
        </w:rPr>
      </w:pPr>
      <w:r>
        <w:rPr>
          <w:rStyle w:val="Forte"/>
          <w:rFonts w:ascii="Calibri" w:hAnsi="Calibri" w:cs="Calibri"/>
          <w:i/>
          <w:iCs/>
          <w:color w:val="581C87"/>
          <w:sz w:val="22"/>
          <w:szCs w:val="22"/>
        </w:rPr>
        <w:t>Nota:</w:t>
      </w:r>
      <w:r>
        <w:rPr>
          <w:rFonts w:ascii="Calibri" w:hAnsi="Calibri" w:cs="Calibri"/>
          <w:i/>
          <w:iCs/>
          <w:color w:val="581C87"/>
          <w:sz w:val="22"/>
          <w:szCs w:val="22"/>
        </w:rPr>
        <w:t xml:space="preserve"> Links e edições foram verificados à época da elaboração deste relatório. Recomenda-se consultar as versões mais recentes dos frameworks regulatórios (NIST AI RMF, EU AI Act) e dos relatórios anuais (DORA, MIT CISR) para capturar atualizações posteriores à data de publicação deste book.</w:t>
      </w:r>
    </w:p>
    <w:p w14:paraId="3B1BB7BF" w14:textId="77777777" w:rsidR="00000000" w:rsidRDefault="00000000">
      <w:pPr>
        <w:pStyle w:val="Ttulo1"/>
        <w:keepNext/>
        <w:pageBreakBefore/>
        <w:pBdr>
          <w:bottom w:val="single" w:sz="18" w:space="6" w:color="D8B4FE"/>
        </w:pBdr>
        <w:spacing w:before="480" w:beforeAutospacing="0" w:after="280" w:afterAutospacing="0"/>
        <w:rPr>
          <w:rFonts w:ascii="Calibri" w:eastAsia="Times New Roman" w:hAnsi="Calibri" w:cs="Calibri"/>
          <w:color w:val="6B21A8"/>
        </w:rPr>
      </w:pPr>
      <w:r>
        <w:rPr>
          <w:rFonts w:ascii="Calibri" w:eastAsia="Times New Roman" w:hAnsi="Calibri" w:cs="Calibri"/>
          <w:color w:val="6B21A8"/>
        </w:rPr>
        <w:t>13. PRÓXIMOS PASSOS IMEDIATOS (30 DIAS)</w:t>
      </w:r>
    </w:p>
    <w:p w14:paraId="3164FE6B"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13.1 Ações prioritárias</w:t>
      </w:r>
    </w:p>
    <w:p w14:paraId="0A81152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13.1.1 Constituir Força-Tarefa de Conformidade Regulatória</w:t>
      </w:r>
    </w:p>
    <w:p w14:paraId="1515618C" w14:textId="77777777" w:rsidR="00000000" w:rsidRDefault="00000000">
      <w:pPr>
        <w:numPr>
          <w:ilvl w:val="0"/>
          <w:numId w:val="4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Jurídico / Chief Compliance Officer, com suporte do responsável por IA (CAIO ou equivalente)</w:t>
      </w:r>
    </w:p>
    <w:p w14:paraId="704BEC4E" w14:textId="77777777" w:rsidR="00000000" w:rsidRDefault="00000000">
      <w:pPr>
        <w:numPr>
          <w:ilvl w:val="0"/>
          <w:numId w:val="4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Diagnóstico documentado das lacunas regulatórias críticas (LGPD, EU AI Act, regulações de algoritmos aplicáveis ao setor tech), mapa de riscos prioritários e plano de remediação com prazo de 90 dias; base para o framework NIST AI RMF</w:t>
      </w:r>
    </w:p>
    <w:p w14:paraId="2BB5723C" w14:textId="77777777" w:rsidR="00000000" w:rsidRDefault="00000000">
      <w:pPr>
        <w:numPr>
          <w:ilvl w:val="0"/>
          <w:numId w:val="48"/>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1–20 (kick-off imediato; entrega do diagnóstico até o dia 20)</w:t>
      </w:r>
    </w:p>
    <w:p w14:paraId="6AEC320C"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B61A53D">
          <v:rect id="_x0000_i1035" alt="" style="width:425.2pt;height:.05pt;mso-width-percent:0;mso-height-percent:0;mso-width-percent:0;mso-height-percent:0" o:hralign="center" o:hrstd="t" o:hr="t" fillcolor="#a0a0a0" stroked="f"/>
        </w:pict>
      </w:r>
    </w:p>
    <w:p w14:paraId="0248F6C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13.1.2 Aprovar Orçamento Dedicado e Roadmap Formal de IA (12–24 Meses)</w:t>
      </w:r>
    </w:p>
    <w:p w14:paraId="44306399" w14:textId="77777777" w:rsidR="00000000" w:rsidRDefault="00000000">
      <w:pPr>
        <w:numPr>
          <w:ilvl w:val="0"/>
          <w:numId w:val="4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C-Level patrocinador (o engajamento executivo já existe — score Q2 Estratégia = 3,45) + CFO + CAIO ou responsável por IA</w:t>
      </w:r>
    </w:p>
    <w:p w14:paraId="0F69B19D" w14:textId="77777777" w:rsidR="00000000" w:rsidRDefault="00000000">
      <w:pPr>
        <w:numPr>
          <w:ilvl w:val="0"/>
          <w:numId w:val="4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Documento aprovado em board ou comitê executivo contendo: orçamento anual de referência (R$ 3.000.000, conforme calibragem Blueprint), roadmap de iniciativas priorizadas por valor e viabilidade, e metas financeiras conectadas à trajetória MIT (nível 2 → 3, retorno médio esperado de R$ 12.000.000/ano no nível 3)</w:t>
      </w:r>
    </w:p>
    <w:p w14:paraId="64CF9406" w14:textId="77777777" w:rsidR="00000000" w:rsidRDefault="00000000">
      <w:pPr>
        <w:numPr>
          <w:ilvl w:val="0"/>
          <w:numId w:val="49"/>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5–30 (apresentação executiva até o dia 15; aprovação formal até o dia 30)</w:t>
      </w:r>
    </w:p>
    <w:p w14:paraId="0A6E88A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09F3EEC">
          <v:rect id="_x0000_i1034" alt="" style="width:425.2pt;height:.05pt;mso-width-percent:0;mso-height-percent:0;mso-width-percent:0;mso-height-percent:0" o:hralign="center" o:hrstd="t" o:hr="t" fillcolor="#a0a0a0" stroked="f"/>
        </w:pict>
      </w:r>
    </w:p>
    <w:p w14:paraId="4D7DBD7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13.1.3 Estruturar Modelo Formal de Governança de IA</w:t>
      </w:r>
    </w:p>
    <w:p w14:paraId="6BDA8B05" w14:textId="77777777" w:rsidR="00000000" w:rsidRDefault="00000000">
      <w:pPr>
        <w:numPr>
          <w:ilvl w:val="0"/>
          <w:numId w:val="5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CAIO / Head de Dados + representantes de Negócio, Jurídico e TI</w:t>
      </w:r>
    </w:p>
    <w:p w14:paraId="3A142445" w14:textId="77777777" w:rsidR="00000000" w:rsidRDefault="00000000">
      <w:pPr>
        <w:numPr>
          <w:ilvl w:val="0"/>
          <w:numId w:val="5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Carta de constituição do Comitê de Governança de IA (incluindo ética e viés), políticas mínimas de uso responsável, fluxo de aprovação para novos projetos de IA e checklist de auditabilidade de modelos em produção; referência: NIST AI RMF Govern function</w:t>
      </w:r>
    </w:p>
    <w:p w14:paraId="31C042A9" w14:textId="77777777" w:rsidR="00000000" w:rsidRDefault="00000000">
      <w:pPr>
        <w:numPr>
          <w:ilvl w:val="0"/>
          <w:numId w:val="50"/>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1–25 (minuta até o dia 15; aprovação e comunicação interna até o dia 25)</w:t>
      </w:r>
    </w:p>
    <w:p w14:paraId="37CA0DD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27CD378E">
          <v:rect id="_x0000_i1033" alt="" style="width:425.2pt;height:.05pt;mso-width-percent:0;mso-height-percent:0;mso-width-percent:0;mso-height-percent:0" o:hralign="center" o:hrstd="t" o:hr="t" fillcolor="#a0a0a0" stroked="f"/>
        </w:pict>
      </w:r>
    </w:p>
    <w:p w14:paraId="5D81864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13.1.4 Mapear e Priorizar Casos de Uso de IA por Unidade de Negócio</w:t>
      </w:r>
    </w:p>
    <w:p w14:paraId="4D0A6E0C" w14:textId="77777777" w:rsidR="00000000" w:rsidRDefault="00000000">
      <w:pPr>
        <w:numPr>
          <w:ilvl w:val="0"/>
          <w:numId w:val="5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de Estratégia de IA + líderes de cada unidade de negócio (Serviços, Produtos, Operações)</w:t>
      </w:r>
    </w:p>
    <w:p w14:paraId="242CAB09" w14:textId="77777777" w:rsidR="00000000" w:rsidRDefault="00000000">
      <w:pPr>
        <w:numPr>
          <w:ilvl w:val="0"/>
          <w:numId w:val="5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Canvas de valor por unidade (BCG AI Value Chain adaptado) com: casos de uso identificados, estimativa de impacto em receita/custo, nível de viabilidade técnica e prioridade de execução; score atual desta dimensão é 2,07 — o mapeamento destrava investimentos represados</w:t>
      </w:r>
    </w:p>
    <w:p w14:paraId="60AA4897" w14:textId="77777777" w:rsidR="00000000" w:rsidRDefault="00000000">
      <w:pPr>
        <w:numPr>
          <w:ilvl w:val="0"/>
          <w:numId w:val="51"/>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10–28 (workshops por unidade entre dias 10–20; consolidação até o dia 28)</w:t>
      </w:r>
    </w:p>
    <w:p w14:paraId="7FAFBE44"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34BF829">
          <v:rect id="_x0000_i1032" alt="" style="width:425.2pt;height:.05pt;mso-width-percent:0;mso-height-percent:0;mso-width-percent:0;mso-height-percent:0" o:hralign="center" o:hrstd="t" o:hr="t" fillcolor="#a0a0a0" stroked="f"/>
        </w:pict>
      </w:r>
    </w:p>
    <w:p w14:paraId="142328BF"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13.1.5 Lançar Programa Estruturado de Upskilling em IA para Colaboradores</w:t>
      </w:r>
    </w:p>
    <w:p w14:paraId="23DEEC66" w14:textId="77777777" w:rsidR="00000000" w:rsidRDefault="00000000">
      <w:pPr>
        <w:numPr>
          <w:ilvl w:val="0"/>
          <w:numId w:val="5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de Pessoas / L&amp;D + CAIO</w:t>
      </w:r>
    </w:p>
    <w:p w14:paraId="3A1FC3B2" w14:textId="77777777" w:rsidR="00000000" w:rsidRDefault="00000000">
      <w:pPr>
        <w:numPr>
          <w:ilvl w:val="0"/>
          <w:numId w:val="5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Trilha de capacitação segmentada por perfil (técnico avançado, técnico generalista, negócio) com módulos de IA Generativa, MLOps básico e IA Responsável; plano de carreira para profissionais de IA integrado ao SFIA Framework; meta: reduzir o gap de talentos (score atual 2,10) em 6 meses</w:t>
      </w:r>
    </w:p>
    <w:p w14:paraId="6FA357CE" w14:textId="77777777" w:rsidR="00000000" w:rsidRDefault="00000000">
      <w:pPr>
        <w:numPr>
          <w:ilvl w:val="0"/>
          <w:numId w:val="52"/>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1–30 (definição de trilhas e parceiros de conteúdo até o dia 30; início das turmas no mês 2)</w:t>
      </w:r>
    </w:p>
    <w:p w14:paraId="686C795D"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17B2DDD">
          <v:rect id="_x0000_i1031" alt="" style="width:425.2pt;height:.05pt;mso-width-percent:0;mso-height-percent:0;mso-width-percent:0;mso-height-percent:0" o:hralign="center" o:hrstd="t" o:hr="t" fillcolor="#a0a0a0" stroked="f"/>
        </w:pict>
      </w:r>
    </w:p>
    <w:p w14:paraId="2478C478"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13.1.6 Implementar Observabilidade e SLA Mínimo para Modelos em Produção</w:t>
      </w:r>
    </w:p>
    <w:p w14:paraId="481607B6" w14:textId="77777777" w:rsidR="00000000" w:rsidRDefault="00000000">
      <w:pPr>
        <w:numPr>
          <w:ilvl w:val="0"/>
          <w:numId w:val="5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de Engenharia de ML / MLOps Lead</w:t>
      </w:r>
    </w:p>
    <w:p w14:paraId="10329BF9" w14:textId="77777777" w:rsidR="00000000" w:rsidRDefault="00000000">
      <w:pPr>
        <w:numPr>
          <w:ilvl w:val="0"/>
          <w:numId w:val="5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Dashboard de monitoramento de performance (drift, latência, acurácia, disponibilidade) para todos os modelos ativos em produção; definição formal de SLAs de negócio por modelo; referência: DORA Metrics adaptadas para ML (deployment frequency, time to restore); score atual de SLA e monitoramento = 1,78 — risco operacional imediato</w:t>
      </w:r>
    </w:p>
    <w:p w14:paraId="0096648C" w14:textId="77777777" w:rsidR="00000000" w:rsidRDefault="00000000">
      <w:pPr>
        <w:numPr>
          <w:ilvl w:val="0"/>
          <w:numId w:val="53"/>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5–30 (inventário de modelos em produção até dia 10; instrumentação básica até dia 30)</w:t>
      </w:r>
    </w:p>
    <w:p w14:paraId="249BEE1B"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BD77B5C">
          <v:rect id="_x0000_i1030" alt="" style="width:425.2pt;height:.05pt;mso-width-percent:0;mso-height-percent:0;mso-width-percent:0;mso-height-percent:0" o:hralign="center" o:hrstd="t" o:hr="t" fillcolor="#a0a0a0" stroked="f"/>
        </w:pict>
      </w:r>
    </w:p>
    <w:p w14:paraId="0D0A51D6"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13.1.7 Definir Estratégia Make vs. Buy vs. Borrow para IA</w:t>
      </w:r>
    </w:p>
    <w:p w14:paraId="5FF23D6B" w14:textId="77777777" w:rsidR="00000000" w:rsidRDefault="00000000">
      <w:pPr>
        <w:numPr>
          <w:ilvl w:val="0"/>
          <w:numId w:val="5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CAIO + Head de Arquitetura + Procurement</w:t>
      </w:r>
    </w:p>
    <w:p w14:paraId="6B2B1CAE" w14:textId="77777777" w:rsidR="00000000" w:rsidRDefault="00000000">
      <w:pPr>
        <w:numPr>
          <w:ilvl w:val="0"/>
          <w:numId w:val="5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Framework de decisão documentado (critérios técnicos, financeiros e estratégicos) para soluções de IA; aplicado imediatamente às iniciativas do roadmap aprovado na ação 13.1.2; score atual desta pergunta em Ecossistema = 1,86 — ausência de critério gera desperdício de orçamento</w:t>
      </w:r>
    </w:p>
    <w:p w14:paraId="6FF82988" w14:textId="77777777" w:rsidR="00000000" w:rsidRDefault="00000000">
      <w:pPr>
        <w:numPr>
          <w:ilvl w:val="0"/>
          <w:numId w:val="54"/>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8–25</w:t>
      </w:r>
    </w:p>
    <w:p w14:paraId="1E5E3D05"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34847E34">
          <v:rect id="_x0000_i1029" alt="" style="width:425.2pt;height:.05pt;mso-width-percent:0;mso-height-percent:0;mso-width-percent:0;mso-height-percent:0" o:hralign="center" o:hrstd="t" o:hr="t" fillcolor="#a0a0a0" stroked="f"/>
        </w:pict>
      </w:r>
    </w:p>
    <w:p w14:paraId="2057B0FA"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13.1.8 Criar Rede Interna de AI Champions por Área</w:t>
      </w:r>
    </w:p>
    <w:p w14:paraId="5F2D1739" w14:textId="77777777" w:rsidR="00000000" w:rsidRDefault="00000000">
      <w:pPr>
        <w:numPr>
          <w:ilvl w:val="0"/>
          <w:numId w:val="5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de Gestão de Mudança / People + sponsor executivo</w:t>
      </w:r>
    </w:p>
    <w:p w14:paraId="5FE0CC95" w14:textId="77777777" w:rsidR="00000000" w:rsidRDefault="00000000">
      <w:pPr>
        <w:numPr>
          <w:ilvl w:val="0"/>
          <w:numId w:val="5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Identificação e nomeação formal de AI Champions em pelo menos 5 áreas-chave; kit de ativação (FAQ, casos de uso internos, canal de comunicação dedicado); base ADKAR/Prosci para reforço da mudança; a dimensão Prontidão para Mudança é o segundo maior ponto forte (2,80) — ampliar a rede converte motivação em execução</w:t>
      </w:r>
    </w:p>
    <w:p w14:paraId="4E155907" w14:textId="77777777" w:rsidR="00000000" w:rsidRDefault="00000000">
      <w:pPr>
        <w:numPr>
          <w:ilvl w:val="0"/>
          <w:numId w:val="55"/>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1–30 (nomeação até dia 15; primeira reunião de alinhamento até dia 30)</w:t>
      </w:r>
    </w:p>
    <w:p w14:paraId="240546C6"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5E417954">
          <v:rect id="_x0000_i1028" alt="" style="width:425.2pt;height:.05pt;mso-width-percent:0;mso-height-percent:0;mso-width-percent:0;mso-height-percent:0" o:hralign="center" o:hrstd="t" o:hr="t" fillcolor="#a0a0a0" stroked="f"/>
        </w:pict>
      </w:r>
    </w:p>
    <w:p w14:paraId="7978DC9D"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13.1.9 Estabelecer Pipeline Unificado de Deploy e Reuso de Modelos (MLOps Foundation)</w:t>
      </w:r>
    </w:p>
    <w:p w14:paraId="2CB46634" w14:textId="77777777" w:rsidR="00000000" w:rsidRDefault="00000000">
      <w:pPr>
        <w:numPr>
          <w:ilvl w:val="0"/>
          <w:numId w:val="5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de Plataforma de IA / Arquiteto Sênior de ML</w:t>
      </w:r>
    </w:p>
    <w:p w14:paraId="1FC19369" w14:textId="77777777" w:rsidR="00000000" w:rsidRDefault="00000000">
      <w:pPr>
        <w:numPr>
          <w:ilvl w:val="0"/>
          <w:numId w:val="5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Definição da stack MLOps mínima (versionamento, CI/CD para modelos, registro centralizado); roadmap para plataforma centralizada de IA referenciando aceleradores do Playbook Atlas Blueprint IA (motores de orquestração, blueprints de pipeline ML); score de orquestração de pipelines = 1,71 e de reuso = 2,38 — gargalo direto para industrialização</w:t>
      </w:r>
    </w:p>
    <w:p w14:paraId="6040F7A9" w14:textId="77777777" w:rsidR="00000000" w:rsidRDefault="00000000">
      <w:pPr>
        <w:numPr>
          <w:ilvl w:val="0"/>
          <w:numId w:val="56"/>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3–30 (decisão de stack até dia 15; ambiente sandbox funcional até dia 30)</w:t>
      </w:r>
    </w:p>
    <w:p w14:paraId="376A0A6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66B625A8">
          <v:rect id="_x0000_i1027" alt="" style="width:425.2pt;height:.05pt;mso-width-percent:0;mso-height-percent:0;mso-width-percent:0;mso-height-percent:0" o:hralign="center" o:hrstd="t" o:hr="t" fillcolor="#a0a0a0" stroked="f"/>
        </w:pict>
      </w:r>
    </w:p>
    <w:p w14:paraId="7A1DDC7E" w14:textId="77777777" w:rsidR="00000000" w:rsidRDefault="00000000">
      <w:pPr>
        <w:pStyle w:val="Ttulo3"/>
        <w:keepNext/>
        <w:spacing w:before="280" w:beforeAutospacing="0" w:after="160" w:afterAutospacing="0"/>
        <w:rPr>
          <w:rFonts w:ascii="Calibri" w:eastAsia="Times New Roman" w:hAnsi="Calibri" w:cs="Calibri"/>
          <w:color w:val="9333EA"/>
          <w:sz w:val="28"/>
          <w:szCs w:val="28"/>
        </w:rPr>
      </w:pPr>
      <w:r>
        <w:rPr>
          <w:rFonts w:ascii="Calibri" w:eastAsia="Times New Roman" w:hAnsi="Calibri" w:cs="Calibri"/>
          <w:color w:val="9333EA"/>
          <w:sz w:val="28"/>
          <w:szCs w:val="28"/>
        </w:rPr>
        <w:t>13.1.10 Definir Métricas Consolidadas de ROI de IA e Comunicação para Stakeholders</w:t>
      </w:r>
    </w:p>
    <w:p w14:paraId="66A0CE20" w14:textId="77777777" w:rsidR="00000000" w:rsidRDefault="00000000">
      <w:pPr>
        <w:numPr>
          <w:ilvl w:val="0"/>
          <w:numId w:val="5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Responsável sugerido:</w:t>
      </w:r>
      <w:r>
        <w:rPr>
          <w:rFonts w:ascii="Calibri" w:eastAsia="Times New Roman" w:hAnsi="Calibri" w:cs="Calibri"/>
          <w:color w:val="1E293B"/>
          <w:sz w:val="22"/>
          <w:szCs w:val="22"/>
        </w:rPr>
        <w:t xml:space="preserve"> Head de Valor de IA / Business Intelligence + CFO</w:t>
      </w:r>
    </w:p>
    <w:p w14:paraId="4210814F" w14:textId="77777777" w:rsidR="00000000" w:rsidRDefault="00000000">
      <w:pPr>
        <w:numPr>
          <w:ilvl w:val="0"/>
          <w:numId w:val="5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Entregável:</w:t>
      </w:r>
      <w:r>
        <w:rPr>
          <w:rFonts w:ascii="Calibri" w:eastAsia="Times New Roman" w:hAnsi="Calibri" w:cs="Calibri"/>
          <w:color w:val="1E293B"/>
          <w:sz w:val="22"/>
          <w:szCs w:val="22"/>
        </w:rPr>
        <w:t xml:space="preserve"> Modelo de medição de ROI padronizado (conectado aos R$ 3.000.000 de investimento anual de referência e à meta de R$ 12.000.000 de retorno no nível 3 MIT); painel executivo mensal com KPIs de valor; score atual de modelo de ROI = 2,00 e comunicação a stakeholders = 2,00 — lacuna que enfraquece o case de investimento</w:t>
      </w:r>
    </w:p>
    <w:p w14:paraId="0E3D8BD1" w14:textId="77777777" w:rsidR="00000000" w:rsidRDefault="00000000">
      <w:pPr>
        <w:numPr>
          <w:ilvl w:val="0"/>
          <w:numId w:val="57"/>
        </w:numPr>
        <w:spacing w:after="80"/>
        <w:ind w:left="1200"/>
        <w:rPr>
          <w:rFonts w:ascii="Calibri" w:eastAsia="Times New Roman" w:hAnsi="Calibri" w:cs="Calibri"/>
          <w:color w:val="1E293B"/>
          <w:sz w:val="22"/>
          <w:szCs w:val="22"/>
        </w:rPr>
      </w:pPr>
      <w:r>
        <w:rPr>
          <w:rStyle w:val="Forte"/>
          <w:rFonts w:ascii="Calibri" w:eastAsia="Times New Roman" w:hAnsi="Calibri" w:cs="Calibri"/>
          <w:color w:val="1E293B"/>
          <w:sz w:val="22"/>
          <w:szCs w:val="22"/>
        </w:rPr>
        <w:t>Prazo:</w:t>
      </w:r>
      <w:r>
        <w:rPr>
          <w:rFonts w:ascii="Calibri" w:eastAsia="Times New Roman" w:hAnsi="Calibri" w:cs="Calibri"/>
          <w:color w:val="1E293B"/>
          <w:sz w:val="22"/>
          <w:szCs w:val="22"/>
        </w:rPr>
        <w:t xml:space="preserve"> Dias 10–30</w:t>
      </w:r>
    </w:p>
    <w:p w14:paraId="6A299BC7" w14:textId="77777777" w:rsidR="00000000" w:rsidRDefault="00335A76">
      <w:pPr>
        <w:spacing w:before="320" w:after="32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74D69F5F">
          <v:rect id="_x0000_i1026" alt="" style="width:425.2pt;height:.05pt;mso-width-percent:0;mso-height-percent:0;mso-width-percent:0;mso-height-percent:0" o:hralign="center" o:hrstd="t" o:hr="t" fillcolor="#a0a0a0" stroked="f"/>
        </w:pict>
      </w:r>
    </w:p>
    <w:p w14:paraId="594A0CBD" w14:textId="77777777" w:rsidR="00000000" w:rsidRDefault="00000000">
      <w:pPr>
        <w:pStyle w:val="Ttulo2"/>
        <w:keepNext/>
        <w:spacing w:before="360" w:beforeAutospacing="0" w:after="200" w:afterAutospacing="0"/>
        <w:rPr>
          <w:rFonts w:ascii="Calibri" w:eastAsia="Times New Roman" w:hAnsi="Calibri" w:cs="Calibri"/>
          <w:color w:val="7C3AED"/>
        </w:rPr>
      </w:pPr>
      <w:r>
        <w:rPr>
          <w:rFonts w:ascii="Calibri" w:eastAsia="Times New Roman" w:hAnsi="Calibri" w:cs="Calibri"/>
          <w:color w:val="7C3AED"/>
        </w:rPr>
        <w:t>13.2 Alinhamento ao próximo nível MIT</w:t>
      </w:r>
    </w:p>
    <w:p w14:paraId="08D79AA3" w14:textId="77777777" w:rsidR="00000000" w:rsidRDefault="00000000">
      <w:pPr>
        <w:pStyle w:val="NormalWeb"/>
        <w:spacing w:before="0" w:beforeAutospacing="0" w:after="200" w:afterAutospacing="0"/>
        <w:jc w:val="both"/>
        <w:rPr>
          <w:rFonts w:ascii="Calibri" w:hAnsi="Calibri" w:cs="Calibri"/>
          <w:color w:val="1E293B"/>
          <w:sz w:val="22"/>
          <w:szCs w:val="22"/>
        </w:rPr>
      </w:pPr>
      <w:r>
        <w:rPr>
          <w:rFonts w:ascii="Calibri" w:hAnsi="Calibri" w:cs="Calibri"/>
          <w:color w:val="1E293B"/>
          <w:sz w:val="22"/>
          <w:szCs w:val="22"/>
        </w:rPr>
        <w:t xml:space="preserve">A Empresa Teste Maturidade IA está consolidada no </w:t>
      </w:r>
      <w:r>
        <w:rPr>
          <w:rStyle w:val="Forte"/>
          <w:rFonts w:ascii="Calibri" w:hAnsi="Calibri" w:cs="Calibri"/>
          <w:color w:val="1E293B"/>
          <w:sz w:val="22"/>
          <w:szCs w:val="22"/>
        </w:rPr>
        <w:t>Estágio 2 — Experiment and Prepare / Oportunista</w:t>
      </w:r>
      <w:r>
        <w:rPr>
          <w:rFonts w:ascii="Calibri" w:hAnsi="Calibri" w:cs="Calibri"/>
          <w:color w:val="1E293B"/>
          <w:sz w:val="22"/>
          <w:szCs w:val="22"/>
        </w:rPr>
        <w:t xml:space="preserve"> do Enterprise AI Maturity Model (MIT CISR), com score 2,31 e gap de 1,19 pontos em relação à média do setor tech (3,5). O avanço para o </w:t>
      </w:r>
      <w:r>
        <w:rPr>
          <w:rStyle w:val="Forte"/>
          <w:rFonts w:ascii="Calibri" w:hAnsi="Calibri" w:cs="Calibri"/>
          <w:color w:val="1E293B"/>
          <w:sz w:val="22"/>
          <w:szCs w:val="22"/>
        </w:rPr>
        <w:t>Estágio 3 — Develop AI Ways of Working</w:t>
      </w:r>
      <w:r>
        <w:rPr>
          <w:rFonts w:ascii="Calibri" w:hAnsi="Calibri" w:cs="Calibri"/>
          <w:color w:val="1E293B"/>
          <w:sz w:val="22"/>
          <w:szCs w:val="22"/>
        </w:rPr>
        <w:t xml:space="preserve"> representa a transição mais crítica de valor: segundo o benchmark MIT CISR, essa migração move a organização da faixa de ROI médio de 100% sobre o investimento anual (≈ R$ 3.000.000 retornando R$ 3.000.000) para a faixa de 200% (investimento de R$ 6.000.000 gerando retorno médio de R$ 12.000.000/ano), em horizonte de 9 a 12 meses após consolidação das práticas do nível 3. Nos próximos 30 dias, duas ações são decisivas para iniciar essa transição de maneira estruturada e mensurável:</w:t>
      </w:r>
    </w:p>
    <w:p w14:paraId="525408E0"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Primeira:</w:t>
      </w:r>
      <w:r>
        <w:rPr>
          <w:rFonts w:ascii="Calibri" w:hAnsi="Calibri" w:cs="Calibri"/>
          <w:color w:val="1E293B"/>
          <w:sz w:val="22"/>
          <w:szCs w:val="22"/>
        </w:rPr>
        <w:t xml:space="preserve"> a aprovação formal do orçamento e roadmap de IA (ação 13.1.2) é o gatilho institucional que separa organizações no nível 2 — onde projetos dependem de aprovações pontuais e orçamentos disputados — daquelas no nível 3, onde IA opera como capacidade sistêmica financiada de modo previsível. Sem esse movimento, o engajamento do C-Level (o maior ativo atual da empresa, score 3,45) permanece sem alavanca de execução.</w:t>
      </w:r>
    </w:p>
    <w:p w14:paraId="7CE552E9" w14:textId="77777777" w:rsidR="00000000" w:rsidRDefault="00000000">
      <w:pPr>
        <w:pStyle w:val="NormalWeb"/>
        <w:spacing w:before="0" w:beforeAutospacing="0" w:after="200" w:afterAutospacing="0"/>
        <w:jc w:val="both"/>
        <w:rPr>
          <w:rFonts w:ascii="Calibri" w:hAnsi="Calibri" w:cs="Calibri"/>
          <w:color w:val="1E293B"/>
          <w:sz w:val="22"/>
          <w:szCs w:val="22"/>
        </w:rPr>
      </w:pPr>
      <w:r>
        <w:rPr>
          <w:rStyle w:val="Forte"/>
          <w:rFonts w:ascii="Calibri" w:hAnsi="Calibri" w:cs="Calibri"/>
          <w:color w:val="1E293B"/>
          <w:sz w:val="22"/>
          <w:szCs w:val="22"/>
        </w:rPr>
        <w:t>Segunda:</w:t>
      </w:r>
      <w:r>
        <w:rPr>
          <w:rFonts w:ascii="Calibri" w:hAnsi="Calibri" w:cs="Calibri"/>
          <w:color w:val="1E293B"/>
          <w:sz w:val="22"/>
          <w:szCs w:val="22"/>
        </w:rPr>
        <w:t xml:space="preserve"> a estruturação do framework de governança e da plataforma MLOps foundation (ações 13.1.3 e 13.1.9) responde diretamente ao critério MIT CISR de Estágio 3 — "IA ways of working" requerem processos repetíveis, auditáveis e escaláveis, não apenas experimentos isolados. Esses dois movimentos, combinados, posicionam a Empresa Teste Maturidade IA para capturar o salto de retorno previsto na trajetória de valor MIT ao longo dos próximos 12 a 24 meses.</w:t>
      </w:r>
    </w:p>
    <w:p w14:paraId="04AAB72C" w14:textId="77777777" w:rsidR="00000000" w:rsidRDefault="00000000">
      <w:pPr>
        <w:spacing w:after="240"/>
        <w:rPr>
          <w:rFonts w:ascii="Calibri" w:eastAsia="Times New Roman" w:hAnsi="Calibri" w:cs="Calibri"/>
          <w:color w:val="1E293B"/>
          <w:sz w:val="22"/>
          <w:szCs w:val="22"/>
        </w:rPr>
      </w:pPr>
    </w:p>
    <w:p w14:paraId="2441D67F" w14:textId="77777777" w:rsidR="00000000" w:rsidRDefault="00335A76">
      <w:pPr>
        <w:spacing w:before="400" w:after="400"/>
        <w:rPr>
          <w:rFonts w:ascii="Calibri" w:eastAsia="Times New Roman" w:hAnsi="Calibri" w:cs="Calibri"/>
          <w:color w:val="1E293B"/>
          <w:sz w:val="22"/>
          <w:szCs w:val="22"/>
        </w:rPr>
      </w:pPr>
      <w:r>
        <w:rPr>
          <w:rFonts w:ascii="Calibri" w:eastAsia="Times New Roman" w:hAnsi="Calibri" w:cs="Calibri"/>
          <w:noProof/>
          <w:color w:val="1E293B"/>
          <w:sz w:val="22"/>
          <w:szCs w:val="22"/>
        </w:rPr>
        <w:pict w14:anchorId="1120D8FE">
          <v:rect id="_x0000_i1025" alt="" style="width:425.2pt;height:.05pt;mso-width-percent:0;mso-height-percent:0;mso-width-percent:0;mso-height-percent:0" o:hralign="center" o:hrstd="t" o:hr="t" fillcolor="#a0a0a0" stroked="f"/>
        </w:pict>
      </w:r>
    </w:p>
    <w:p w14:paraId="0CCE92DE" w14:textId="77777777" w:rsidR="00335A76" w:rsidRDefault="00000000">
      <w:pPr>
        <w:pStyle w:val="NormalWeb"/>
        <w:jc w:val="center"/>
        <w:rPr>
          <w:rFonts w:ascii="Calibri" w:hAnsi="Calibri" w:cs="Calibri"/>
          <w:color w:val="94A3B8"/>
          <w:sz w:val="18"/>
          <w:szCs w:val="18"/>
        </w:rPr>
      </w:pPr>
      <w:r>
        <w:rPr>
          <w:rFonts w:ascii="Calibri" w:hAnsi="Calibri" w:cs="Calibri"/>
          <w:color w:val="94A3B8"/>
          <w:sz w:val="18"/>
          <w:szCs w:val="18"/>
        </w:rPr>
        <w:t xml:space="preserve">BluePrint IA · Consultor Sênior MIT CISR · Gerado em 17/06/2026, 08:25:02 </w:t>
      </w:r>
    </w:p>
    <w:sectPr w:rsidR="00335A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423"/>
    <w:multiLevelType w:val="multilevel"/>
    <w:tmpl w:val="7AB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4A6"/>
    <w:multiLevelType w:val="multilevel"/>
    <w:tmpl w:val="391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011E"/>
    <w:multiLevelType w:val="multilevel"/>
    <w:tmpl w:val="0B0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E7C27"/>
    <w:multiLevelType w:val="multilevel"/>
    <w:tmpl w:val="815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081D"/>
    <w:multiLevelType w:val="multilevel"/>
    <w:tmpl w:val="D89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3F95"/>
    <w:multiLevelType w:val="multilevel"/>
    <w:tmpl w:val="F16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17081"/>
    <w:multiLevelType w:val="multilevel"/>
    <w:tmpl w:val="A8C4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91C2C"/>
    <w:multiLevelType w:val="multilevel"/>
    <w:tmpl w:val="FB3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D61BB"/>
    <w:multiLevelType w:val="multilevel"/>
    <w:tmpl w:val="13D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367B4"/>
    <w:multiLevelType w:val="multilevel"/>
    <w:tmpl w:val="420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62EA3"/>
    <w:multiLevelType w:val="multilevel"/>
    <w:tmpl w:val="D6C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F48C7"/>
    <w:multiLevelType w:val="multilevel"/>
    <w:tmpl w:val="8B5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6671E"/>
    <w:multiLevelType w:val="multilevel"/>
    <w:tmpl w:val="5EE2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90EE3"/>
    <w:multiLevelType w:val="multilevel"/>
    <w:tmpl w:val="796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81FB2"/>
    <w:multiLevelType w:val="multilevel"/>
    <w:tmpl w:val="4CC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D34C5"/>
    <w:multiLevelType w:val="multilevel"/>
    <w:tmpl w:val="459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B7A00"/>
    <w:multiLevelType w:val="multilevel"/>
    <w:tmpl w:val="5E4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71B03"/>
    <w:multiLevelType w:val="multilevel"/>
    <w:tmpl w:val="EBEA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73C03"/>
    <w:multiLevelType w:val="multilevel"/>
    <w:tmpl w:val="018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C0DB1"/>
    <w:multiLevelType w:val="multilevel"/>
    <w:tmpl w:val="FA5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A3BAA"/>
    <w:multiLevelType w:val="multilevel"/>
    <w:tmpl w:val="451A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70075"/>
    <w:multiLevelType w:val="multilevel"/>
    <w:tmpl w:val="84B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76398"/>
    <w:multiLevelType w:val="multilevel"/>
    <w:tmpl w:val="33C6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37DE2"/>
    <w:multiLevelType w:val="multilevel"/>
    <w:tmpl w:val="48C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5137C"/>
    <w:multiLevelType w:val="multilevel"/>
    <w:tmpl w:val="557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F09B6"/>
    <w:multiLevelType w:val="multilevel"/>
    <w:tmpl w:val="94A0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86DD2"/>
    <w:multiLevelType w:val="multilevel"/>
    <w:tmpl w:val="C33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1312D"/>
    <w:multiLevelType w:val="multilevel"/>
    <w:tmpl w:val="835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75E51"/>
    <w:multiLevelType w:val="multilevel"/>
    <w:tmpl w:val="14D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735B7"/>
    <w:multiLevelType w:val="multilevel"/>
    <w:tmpl w:val="EF7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25742"/>
    <w:multiLevelType w:val="multilevel"/>
    <w:tmpl w:val="8E20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44078"/>
    <w:multiLevelType w:val="multilevel"/>
    <w:tmpl w:val="1AF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619D8"/>
    <w:multiLevelType w:val="multilevel"/>
    <w:tmpl w:val="6506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62EC4"/>
    <w:multiLevelType w:val="multilevel"/>
    <w:tmpl w:val="AAFC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DF6686"/>
    <w:multiLevelType w:val="multilevel"/>
    <w:tmpl w:val="CB1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B5202"/>
    <w:multiLevelType w:val="multilevel"/>
    <w:tmpl w:val="B6B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C7209"/>
    <w:multiLevelType w:val="multilevel"/>
    <w:tmpl w:val="43D0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9F7B98"/>
    <w:multiLevelType w:val="multilevel"/>
    <w:tmpl w:val="7A8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94FF2"/>
    <w:multiLevelType w:val="multilevel"/>
    <w:tmpl w:val="5BD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83FCF"/>
    <w:multiLevelType w:val="multilevel"/>
    <w:tmpl w:val="6D5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C440C"/>
    <w:multiLevelType w:val="multilevel"/>
    <w:tmpl w:val="961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70303"/>
    <w:multiLevelType w:val="multilevel"/>
    <w:tmpl w:val="983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27021"/>
    <w:multiLevelType w:val="multilevel"/>
    <w:tmpl w:val="C0F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D1590"/>
    <w:multiLevelType w:val="multilevel"/>
    <w:tmpl w:val="F53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95FA6"/>
    <w:multiLevelType w:val="multilevel"/>
    <w:tmpl w:val="502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801D4"/>
    <w:multiLevelType w:val="multilevel"/>
    <w:tmpl w:val="8D6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D95771"/>
    <w:multiLevelType w:val="multilevel"/>
    <w:tmpl w:val="9D2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66723B"/>
    <w:multiLevelType w:val="multilevel"/>
    <w:tmpl w:val="334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E84EF8"/>
    <w:multiLevelType w:val="multilevel"/>
    <w:tmpl w:val="AE5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321D3A"/>
    <w:multiLevelType w:val="multilevel"/>
    <w:tmpl w:val="CAE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52518"/>
    <w:multiLevelType w:val="multilevel"/>
    <w:tmpl w:val="7DB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259F4"/>
    <w:multiLevelType w:val="multilevel"/>
    <w:tmpl w:val="578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62D7A"/>
    <w:multiLevelType w:val="multilevel"/>
    <w:tmpl w:val="B51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4C666B"/>
    <w:multiLevelType w:val="multilevel"/>
    <w:tmpl w:val="DFF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8525D9"/>
    <w:multiLevelType w:val="multilevel"/>
    <w:tmpl w:val="39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211204"/>
    <w:multiLevelType w:val="multilevel"/>
    <w:tmpl w:val="C55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015DF"/>
    <w:multiLevelType w:val="multilevel"/>
    <w:tmpl w:val="90D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612495">
    <w:abstractNumId w:val="53"/>
  </w:num>
  <w:num w:numId="2" w16cid:durableId="232815904">
    <w:abstractNumId w:val="33"/>
  </w:num>
  <w:num w:numId="3" w16cid:durableId="790897547">
    <w:abstractNumId w:val="23"/>
  </w:num>
  <w:num w:numId="4" w16cid:durableId="159006308">
    <w:abstractNumId w:val="24"/>
  </w:num>
  <w:num w:numId="5" w16cid:durableId="1306473260">
    <w:abstractNumId w:val="32"/>
  </w:num>
  <w:num w:numId="6" w16cid:durableId="1646815031">
    <w:abstractNumId w:val="46"/>
  </w:num>
  <w:num w:numId="7" w16cid:durableId="1091009168">
    <w:abstractNumId w:val="45"/>
  </w:num>
  <w:num w:numId="8" w16cid:durableId="1435400302">
    <w:abstractNumId w:val="17"/>
  </w:num>
  <w:num w:numId="9" w16cid:durableId="1692759758">
    <w:abstractNumId w:val="41"/>
  </w:num>
  <w:num w:numId="10" w16cid:durableId="820922052">
    <w:abstractNumId w:val="54"/>
  </w:num>
  <w:num w:numId="11" w16cid:durableId="1876500770">
    <w:abstractNumId w:val="9"/>
  </w:num>
  <w:num w:numId="12" w16cid:durableId="719673639">
    <w:abstractNumId w:val="40"/>
  </w:num>
  <w:num w:numId="13" w16cid:durableId="316885499">
    <w:abstractNumId w:val="47"/>
  </w:num>
  <w:num w:numId="14" w16cid:durableId="1306085877">
    <w:abstractNumId w:val="8"/>
  </w:num>
  <w:num w:numId="15" w16cid:durableId="563031353">
    <w:abstractNumId w:val="6"/>
  </w:num>
  <w:num w:numId="16" w16cid:durableId="1353729053">
    <w:abstractNumId w:val="7"/>
  </w:num>
  <w:num w:numId="17" w16cid:durableId="434322869">
    <w:abstractNumId w:val="20"/>
  </w:num>
  <w:num w:numId="18" w16cid:durableId="306857161">
    <w:abstractNumId w:val="25"/>
  </w:num>
  <w:num w:numId="19" w16cid:durableId="1056397632">
    <w:abstractNumId w:val="3"/>
  </w:num>
  <w:num w:numId="20" w16cid:durableId="1604874384">
    <w:abstractNumId w:val="35"/>
  </w:num>
  <w:num w:numId="21" w16cid:durableId="1460218250">
    <w:abstractNumId w:val="11"/>
  </w:num>
  <w:num w:numId="22" w16cid:durableId="1497304545">
    <w:abstractNumId w:val="43"/>
  </w:num>
  <w:num w:numId="23" w16cid:durableId="953637258">
    <w:abstractNumId w:val="5"/>
  </w:num>
  <w:num w:numId="24" w16cid:durableId="957836548">
    <w:abstractNumId w:val="55"/>
  </w:num>
  <w:num w:numId="25" w16cid:durableId="487285021">
    <w:abstractNumId w:val="56"/>
  </w:num>
  <w:num w:numId="26" w16cid:durableId="1926693826">
    <w:abstractNumId w:val="12"/>
  </w:num>
  <w:num w:numId="27" w16cid:durableId="520707975">
    <w:abstractNumId w:val="34"/>
  </w:num>
  <w:num w:numId="28" w16cid:durableId="1327636452">
    <w:abstractNumId w:val="14"/>
  </w:num>
  <w:num w:numId="29" w16cid:durableId="105586905">
    <w:abstractNumId w:val="19"/>
  </w:num>
  <w:num w:numId="30" w16cid:durableId="1279987611">
    <w:abstractNumId w:val="21"/>
  </w:num>
  <w:num w:numId="31" w16cid:durableId="1826047606">
    <w:abstractNumId w:val="38"/>
  </w:num>
  <w:num w:numId="32" w16cid:durableId="797451105">
    <w:abstractNumId w:val="50"/>
  </w:num>
  <w:num w:numId="33" w16cid:durableId="1758742520">
    <w:abstractNumId w:val="1"/>
  </w:num>
  <w:num w:numId="34" w16cid:durableId="1531147632">
    <w:abstractNumId w:val="51"/>
  </w:num>
  <w:num w:numId="35" w16cid:durableId="1307979470">
    <w:abstractNumId w:val="16"/>
  </w:num>
  <w:num w:numId="36" w16cid:durableId="994721289">
    <w:abstractNumId w:val="42"/>
  </w:num>
  <w:num w:numId="37" w16cid:durableId="23332478">
    <w:abstractNumId w:val="4"/>
  </w:num>
  <w:num w:numId="38" w16cid:durableId="639386147">
    <w:abstractNumId w:val="37"/>
  </w:num>
  <w:num w:numId="39" w16cid:durableId="301691909">
    <w:abstractNumId w:val="49"/>
  </w:num>
  <w:num w:numId="40" w16cid:durableId="1549800537">
    <w:abstractNumId w:val="10"/>
  </w:num>
  <w:num w:numId="41" w16cid:durableId="1145241996">
    <w:abstractNumId w:val="30"/>
  </w:num>
  <w:num w:numId="42" w16cid:durableId="1261379324">
    <w:abstractNumId w:val="36"/>
  </w:num>
  <w:num w:numId="43" w16cid:durableId="378172041">
    <w:abstractNumId w:val="48"/>
  </w:num>
  <w:num w:numId="44" w16cid:durableId="1322081350">
    <w:abstractNumId w:val="15"/>
  </w:num>
  <w:num w:numId="45" w16cid:durableId="341707524">
    <w:abstractNumId w:val="18"/>
  </w:num>
  <w:num w:numId="46" w16cid:durableId="595791010">
    <w:abstractNumId w:val="31"/>
  </w:num>
  <w:num w:numId="47" w16cid:durableId="713505768">
    <w:abstractNumId w:val="28"/>
  </w:num>
  <w:num w:numId="48" w16cid:durableId="1870070254">
    <w:abstractNumId w:val="44"/>
  </w:num>
  <w:num w:numId="49" w16cid:durableId="114562383">
    <w:abstractNumId w:val="27"/>
  </w:num>
  <w:num w:numId="50" w16cid:durableId="390081904">
    <w:abstractNumId w:val="13"/>
  </w:num>
  <w:num w:numId="51" w16cid:durableId="1158233273">
    <w:abstractNumId w:val="29"/>
  </w:num>
  <w:num w:numId="52" w16cid:durableId="478352990">
    <w:abstractNumId w:val="22"/>
  </w:num>
  <w:num w:numId="53" w16cid:durableId="1102457540">
    <w:abstractNumId w:val="26"/>
  </w:num>
  <w:num w:numId="54" w16cid:durableId="239022593">
    <w:abstractNumId w:val="39"/>
  </w:num>
  <w:num w:numId="55" w16cid:durableId="1492020080">
    <w:abstractNumId w:val="2"/>
  </w:num>
  <w:num w:numId="56" w16cid:durableId="1148328727">
    <w:abstractNumId w:val="52"/>
  </w:num>
  <w:num w:numId="57" w16cid:durableId="1341539748">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6C30"/>
    <w:rsid w:val="00335A76"/>
    <w:rsid w:val="00366C30"/>
    <w:rsid w:val="00A04F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F3ABE"/>
  <w15:chartTrackingRefBased/>
  <w15:docId w15:val="{6ACEF7D3-7D3A-184C-915D-75154891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har"/>
    <w:uiPriority w:val="9"/>
    <w:qFormat/>
    <w:pPr>
      <w:spacing w:before="100" w:beforeAutospacing="1" w:after="100" w:afterAutospacing="1"/>
      <w:outlineLvl w:val="1"/>
    </w:pPr>
    <w:rPr>
      <w:b/>
      <w:bCs/>
      <w:sz w:val="36"/>
      <w:szCs w:val="36"/>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b/>
      <w:bCs/>
    </w:rPr>
  </w:style>
  <w:style w:type="paragraph" w:customStyle="1" w:styleId="msonormal0">
    <w:name w:val="msonormal"/>
    <w:basedOn w:val="Normal"/>
    <w:pPr>
      <w:spacing w:before="100" w:beforeAutospacing="1" w:after="100" w:afterAutospacing="1"/>
    </w:pPr>
  </w:style>
  <w:style w:type="paragraph" w:customStyle="1" w:styleId="cover">
    <w:name w:val="cover"/>
    <w:basedOn w:val="Normal"/>
    <w:pPr>
      <w:spacing w:before="100" w:beforeAutospacing="1" w:after="100" w:afterAutospacing="1"/>
      <w:jc w:val="center"/>
    </w:pPr>
  </w:style>
  <w:style w:type="paragraph" w:customStyle="1" w:styleId="cover-banner">
    <w:name w:val="cover-banner"/>
    <w:basedOn w:val="Normal"/>
    <w:pPr>
      <w:shd w:val="clear" w:color="auto" w:fill="0F766E"/>
      <w:spacing w:before="100" w:beforeAutospacing="1" w:after="480"/>
    </w:pPr>
    <w:rPr>
      <w:color w:val="FFFFFF"/>
    </w:rPr>
  </w:style>
  <w:style w:type="paragraph" w:customStyle="1" w:styleId="cover-title">
    <w:name w:val="cover-title"/>
    <w:basedOn w:val="Normal"/>
    <w:pPr>
      <w:spacing w:after="240"/>
    </w:pPr>
    <w:rPr>
      <w:b/>
      <w:bCs/>
      <w:spacing w:val="10"/>
      <w:sz w:val="64"/>
      <w:szCs w:val="64"/>
    </w:rPr>
  </w:style>
  <w:style w:type="paragraph" w:customStyle="1" w:styleId="cover-subtitle">
    <w:name w:val="cover-subtitle"/>
    <w:basedOn w:val="Normal"/>
    <w:pPr>
      <w:spacing w:after="400"/>
    </w:pPr>
    <w:rPr>
      <w:sz w:val="28"/>
      <w:szCs w:val="28"/>
    </w:rPr>
  </w:style>
  <w:style w:type="paragraph" w:customStyle="1" w:styleId="cover-meta">
    <w:name w:val="cover-meta"/>
    <w:basedOn w:val="Normal"/>
    <w:pPr>
      <w:spacing w:before="600" w:after="100" w:afterAutospacing="1"/>
    </w:pPr>
    <w:rPr>
      <w:color w:val="475569"/>
      <w:sz w:val="22"/>
      <w:szCs w:val="22"/>
    </w:rPr>
  </w:style>
  <w:style w:type="paragraph" w:customStyle="1" w:styleId="footer-info">
    <w:name w:val="footer-info"/>
    <w:basedOn w:val="Normal"/>
    <w:pPr>
      <w:shd w:val="clear" w:color="auto" w:fill="F5F3FF"/>
      <w:spacing w:before="800" w:after="100" w:afterAutospacing="1"/>
    </w:pPr>
    <w:rPr>
      <w:color w:val="6B21A8"/>
      <w:sz w:val="18"/>
      <w:szCs w:val="18"/>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 w:type="character" w:styleId="nfase">
    <w:name w:val="Emphasis"/>
    <w:basedOn w:val="Fontepargpadro"/>
    <w:uiPriority w:val="20"/>
    <w:qFormat/>
    <w:rPr>
      <w:i/>
      <w:iCs/>
    </w:rPr>
  </w:style>
  <w:style w:type="character" w:customStyle="1" w:styleId="Ttulo3Char">
    <w:name w:val="Título 3 Char"/>
    <w:basedOn w:val="Fontepargpadro"/>
    <w:link w:val="Ttulo3"/>
    <w:uiPriority w:val="9"/>
    <w:semiHidden/>
    <w:rPr>
      <w:rFonts w:asciiTheme="minorHAnsi" w:eastAsiaTheme="majorEastAsia" w:hAnsiTheme="minorHAnsi" w:cstheme="majorBidi"/>
      <w:color w:val="0F4761" w:themeColor="accent1" w:themeShade="BF"/>
      <w:sz w:val="28"/>
      <w:szCs w:val="28"/>
    </w:rPr>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728">
      <w:marLeft w:val="0"/>
      <w:marRight w:val="0"/>
      <w:marTop w:val="0"/>
      <w:marBottom w:val="0"/>
      <w:divBdr>
        <w:top w:val="none" w:sz="0" w:space="0" w:color="auto"/>
        <w:left w:val="none" w:sz="0" w:space="0" w:color="auto"/>
        <w:bottom w:val="none" w:sz="0" w:space="0" w:color="auto"/>
        <w:right w:val="none" w:sz="0" w:space="0" w:color="auto"/>
      </w:divBdr>
    </w:div>
    <w:div w:id="42877284">
      <w:marLeft w:val="0"/>
      <w:marRight w:val="0"/>
      <w:marTop w:val="0"/>
      <w:marBottom w:val="0"/>
      <w:divBdr>
        <w:top w:val="none" w:sz="0" w:space="0" w:color="auto"/>
        <w:left w:val="none" w:sz="0" w:space="0" w:color="auto"/>
        <w:bottom w:val="none" w:sz="0" w:space="0" w:color="auto"/>
        <w:right w:val="none" w:sz="0" w:space="0" w:color="auto"/>
      </w:divBdr>
    </w:div>
    <w:div w:id="53242133">
      <w:blockQuote w:val="1"/>
      <w:marLeft w:val="0"/>
      <w:marRight w:val="0"/>
      <w:marTop w:val="200"/>
      <w:marBottom w:val="200"/>
      <w:divBdr>
        <w:top w:val="none" w:sz="0" w:space="0" w:color="auto"/>
        <w:left w:val="single" w:sz="36" w:space="14" w:color="A855F7"/>
        <w:bottom w:val="none" w:sz="0" w:space="0" w:color="auto"/>
        <w:right w:val="none" w:sz="0" w:space="0" w:color="auto"/>
      </w:divBdr>
    </w:div>
    <w:div w:id="94252069">
      <w:marLeft w:val="0"/>
      <w:marRight w:val="0"/>
      <w:marTop w:val="0"/>
      <w:marBottom w:val="0"/>
      <w:divBdr>
        <w:top w:val="none" w:sz="0" w:space="0" w:color="auto"/>
        <w:left w:val="none" w:sz="0" w:space="0" w:color="auto"/>
        <w:bottom w:val="none" w:sz="0" w:space="0" w:color="auto"/>
        <w:right w:val="none" w:sz="0" w:space="0" w:color="auto"/>
      </w:divBdr>
    </w:div>
    <w:div w:id="202795707">
      <w:marLeft w:val="0"/>
      <w:marRight w:val="0"/>
      <w:marTop w:val="800"/>
      <w:marBottom w:val="0"/>
      <w:divBdr>
        <w:top w:val="none" w:sz="0" w:space="0" w:color="auto"/>
        <w:left w:val="none" w:sz="0" w:space="0" w:color="auto"/>
        <w:bottom w:val="none" w:sz="0" w:space="0" w:color="auto"/>
        <w:right w:val="none" w:sz="0" w:space="0" w:color="auto"/>
      </w:divBdr>
    </w:div>
    <w:div w:id="215745695">
      <w:blockQuote w:val="1"/>
      <w:marLeft w:val="0"/>
      <w:marRight w:val="0"/>
      <w:marTop w:val="200"/>
      <w:marBottom w:val="200"/>
      <w:divBdr>
        <w:top w:val="none" w:sz="0" w:space="0" w:color="auto"/>
        <w:left w:val="single" w:sz="36" w:space="14" w:color="A855F7"/>
        <w:bottom w:val="none" w:sz="0" w:space="0" w:color="auto"/>
        <w:right w:val="none" w:sz="0" w:space="0" w:color="auto"/>
      </w:divBdr>
    </w:div>
    <w:div w:id="222251698">
      <w:marLeft w:val="0"/>
      <w:marRight w:val="0"/>
      <w:marTop w:val="0"/>
      <w:marBottom w:val="0"/>
      <w:divBdr>
        <w:top w:val="none" w:sz="0" w:space="0" w:color="auto"/>
        <w:left w:val="none" w:sz="0" w:space="0" w:color="auto"/>
        <w:bottom w:val="none" w:sz="0" w:space="0" w:color="auto"/>
        <w:right w:val="none" w:sz="0" w:space="0" w:color="auto"/>
      </w:divBdr>
    </w:div>
    <w:div w:id="223107457">
      <w:marLeft w:val="0"/>
      <w:marRight w:val="0"/>
      <w:marTop w:val="0"/>
      <w:marBottom w:val="0"/>
      <w:divBdr>
        <w:top w:val="none" w:sz="0" w:space="0" w:color="auto"/>
        <w:left w:val="none" w:sz="0" w:space="0" w:color="auto"/>
        <w:bottom w:val="none" w:sz="0" w:space="0" w:color="auto"/>
        <w:right w:val="none" w:sz="0" w:space="0" w:color="auto"/>
      </w:divBdr>
    </w:div>
    <w:div w:id="235551823">
      <w:marLeft w:val="0"/>
      <w:marRight w:val="0"/>
      <w:marTop w:val="0"/>
      <w:marBottom w:val="0"/>
      <w:divBdr>
        <w:top w:val="none" w:sz="0" w:space="0" w:color="auto"/>
        <w:left w:val="none" w:sz="0" w:space="0" w:color="auto"/>
        <w:bottom w:val="none" w:sz="0" w:space="0" w:color="auto"/>
        <w:right w:val="none" w:sz="0" w:space="0" w:color="auto"/>
      </w:divBdr>
    </w:div>
    <w:div w:id="267466758">
      <w:marLeft w:val="0"/>
      <w:marRight w:val="0"/>
      <w:marTop w:val="0"/>
      <w:marBottom w:val="0"/>
      <w:divBdr>
        <w:top w:val="none" w:sz="0" w:space="0" w:color="auto"/>
        <w:left w:val="none" w:sz="0" w:space="0" w:color="auto"/>
        <w:bottom w:val="none" w:sz="0" w:space="0" w:color="auto"/>
        <w:right w:val="none" w:sz="0" w:space="0" w:color="auto"/>
      </w:divBdr>
    </w:div>
    <w:div w:id="318392220">
      <w:marLeft w:val="0"/>
      <w:marRight w:val="0"/>
      <w:marTop w:val="0"/>
      <w:marBottom w:val="0"/>
      <w:divBdr>
        <w:top w:val="none" w:sz="0" w:space="0" w:color="auto"/>
        <w:left w:val="none" w:sz="0" w:space="0" w:color="auto"/>
        <w:bottom w:val="none" w:sz="0" w:space="0" w:color="auto"/>
        <w:right w:val="none" w:sz="0" w:space="0" w:color="auto"/>
      </w:divBdr>
    </w:div>
    <w:div w:id="320819129">
      <w:blockQuote w:val="1"/>
      <w:marLeft w:val="0"/>
      <w:marRight w:val="0"/>
      <w:marTop w:val="200"/>
      <w:marBottom w:val="200"/>
      <w:divBdr>
        <w:top w:val="none" w:sz="0" w:space="0" w:color="auto"/>
        <w:left w:val="single" w:sz="36" w:space="14" w:color="A855F7"/>
        <w:bottom w:val="none" w:sz="0" w:space="0" w:color="auto"/>
        <w:right w:val="none" w:sz="0" w:space="0" w:color="auto"/>
      </w:divBdr>
    </w:div>
    <w:div w:id="328020720">
      <w:marLeft w:val="0"/>
      <w:marRight w:val="0"/>
      <w:marTop w:val="0"/>
      <w:marBottom w:val="0"/>
      <w:divBdr>
        <w:top w:val="none" w:sz="0" w:space="0" w:color="auto"/>
        <w:left w:val="none" w:sz="0" w:space="0" w:color="auto"/>
        <w:bottom w:val="none" w:sz="0" w:space="0" w:color="auto"/>
        <w:right w:val="none" w:sz="0" w:space="0" w:color="auto"/>
      </w:divBdr>
    </w:div>
    <w:div w:id="342976443">
      <w:marLeft w:val="0"/>
      <w:marRight w:val="0"/>
      <w:marTop w:val="0"/>
      <w:marBottom w:val="0"/>
      <w:divBdr>
        <w:top w:val="none" w:sz="0" w:space="0" w:color="auto"/>
        <w:left w:val="none" w:sz="0" w:space="0" w:color="auto"/>
        <w:bottom w:val="none" w:sz="0" w:space="0" w:color="auto"/>
        <w:right w:val="none" w:sz="0" w:space="0" w:color="auto"/>
      </w:divBdr>
    </w:div>
    <w:div w:id="356779352">
      <w:marLeft w:val="0"/>
      <w:marRight w:val="0"/>
      <w:marTop w:val="0"/>
      <w:marBottom w:val="0"/>
      <w:divBdr>
        <w:top w:val="none" w:sz="0" w:space="0" w:color="auto"/>
        <w:left w:val="none" w:sz="0" w:space="0" w:color="auto"/>
        <w:bottom w:val="none" w:sz="0" w:space="0" w:color="auto"/>
        <w:right w:val="none" w:sz="0" w:space="0" w:color="auto"/>
      </w:divBdr>
    </w:div>
    <w:div w:id="368383692">
      <w:blockQuote w:val="1"/>
      <w:marLeft w:val="0"/>
      <w:marRight w:val="0"/>
      <w:marTop w:val="200"/>
      <w:marBottom w:val="200"/>
      <w:divBdr>
        <w:top w:val="none" w:sz="0" w:space="0" w:color="auto"/>
        <w:left w:val="single" w:sz="36" w:space="14" w:color="A855F7"/>
        <w:bottom w:val="none" w:sz="0" w:space="0" w:color="auto"/>
        <w:right w:val="none" w:sz="0" w:space="0" w:color="auto"/>
      </w:divBdr>
    </w:div>
    <w:div w:id="420177293">
      <w:blockQuote w:val="1"/>
      <w:marLeft w:val="0"/>
      <w:marRight w:val="0"/>
      <w:marTop w:val="200"/>
      <w:marBottom w:val="200"/>
      <w:divBdr>
        <w:top w:val="none" w:sz="0" w:space="0" w:color="auto"/>
        <w:left w:val="single" w:sz="36" w:space="14" w:color="A855F7"/>
        <w:bottom w:val="none" w:sz="0" w:space="0" w:color="auto"/>
        <w:right w:val="none" w:sz="0" w:space="0" w:color="auto"/>
      </w:divBdr>
    </w:div>
    <w:div w:id="489641218">
      <w:marLeft w:val="0"/>
      <w:marRight w:val="0"/>
      <w:marTop w:val="0"/>
      <w:marBottom w:val="0"/>
      <w:divBdr>
        <w:top w:val="none" w:sz="0" w:space="0" w:color="auto"/>
        <w:left w:val="none" w:sz="0" w:space="0" w:color="auto"/>
        <w:bottom w:val="none" w:sz="0" w:space="0" w:color="auto"/>
        <w:right w:val="none" w:sz="0" w:space="0" w:color="auto"/>
      </w:divBdr>
    </w:div>
    <w:div w:id="560561453">
      <w:marLeft w:val="0"/>
      <w:marRight w:val="0"/>
      <w:marTop w:val="0"/>
      <w:marBottom w:val="0"/>
      <w:divBdr>
        <w:top w:val="none" w:sz="0" w:space="0" w:color="auto"/>
        <w:left w:val="none" w:sz="0" w:space="0" w:color="auto"/>
        <w:bottom w:val="none" w:sz="0" w:space="0" w:color="auto"/>
        <w:right w:val="none" w:sz="0" w:space="0" w:color="auto"/>
      </w:divBdr>
    </w:div>
    <w:div w:id="567111786">
      <w:marLeft w:val="0"/>
      <w:marRight w:val="0"/>
      <w:marTop w:val="0"/>
      <w:marBottom w:val="0"/>
      <w:divBdr>
        <w:top w:val="none" w:sz="0" w:space="0" w:color="auto"/>
        <w:left w:val="none" w:sz="0" w:space="0" w:color="auto"/>
        <w:bottom w:val="none" w:sz="0" w:space="0" w:color="auto"/>
        <w:right w:val="none" w:sz="0" w:space="0" w:color="auto"/>
      </w:divBdr>
    </w:div>
    <w:div w:id="571357165">
      <w:marLeft w:val="0"/>
      <w:marRight w:val="0"/>
      <w:marTop w:val="0"/>
      <w:marBottom w:val="0"/>
      <w:divBdr>
        <w:top w:val="none" w:sz="0" w:space="0" w:color="auto"/>
        <w:left w:val="none" w:sz="0" w:space="0" w:color="auto"/>
        <w:bottom w:val="none" w:sz="0" w:space="0" w:color="auto"/>
        <w:right w:val="none" w:sz="0" w:space="0" w:color="auto"/>
      </w:divBdr>
    </w:div>
    <w:div w:id="573514095">
      <w:blockQuote w:val="1"/>
      <w:marLeft w:val="0"/>
      <w:marRight w:val="0"/>
      <w:marTop w:val="200"/>
      <w:marBottom w:val="200"/>
      <w:divBdr>
        <w:top w:val="none" w:sz="0" w:space="0" w:color="auto"/>
        <w:left w:val="single" w:sz="36" w:space="14" w:color="A855F7"/>
        <w:bottom w:val="none" w:sz="0" w:space="0" w:color="auto"/>
        <w:right w:val="none" w:sz="0" w:space="0" w:color="auto"/>
      </w:divBdr>
    </w:div>
    <w:div w:id="586841771">
      <w:marLeft w:val="0"/>
      <w:marRight w:val="0"/>
      <w:marTop w:val="0"/>
      <w:marBottom w:val="0"/>
      <w:divBdr>
        <w:top w:val="none" w:sz="0" w:space="0" w:color="auto"/>
        <w:left w:val="none" w:sz="0" w:space="0" w:color="auto"/>
        <w:bottom w:val="none" w:sz="0" w:space="0" w:color="auto"/>
        <w:right w:val="none" w:sz="0" w:space="0" w:color="auto"/>
      </w:divBdr>
    </w:div>
    <w:div w:id="720712845">
      <w:blockQuote w:val="1"/>
      <w:marLeft w:val="0"/>
      <w:marRight w:val="0"/>
      <w:marTop w:val="200"/>
      <w:marBottom w:val="200"/>
      <w:divBdr>
        <w:top w:val="none" w:sz="0" w:space="0" w:color="auto"/>
        <w:left w:val="single" w:sz="36" w:space="14" w:color="A855F7"/>
        <w:bottom w:val="none" w:sz="0" w:space="0" w:color="auto"/>
        <w:right w:val="none" w:sz="0" w:space="0" w:color="auto"/>
      </w:divBdr>
    </w:div>
    <w:div w:id="734427830">
      <w:blockQuote w:val="1"/>
      <w:marLeft w:val="0"/>
      <w:marRight w:val="0"/>
      <w:marTop w:val="200"/>
      <w:marBottom w:val="200"/>
      <w:divBdr>
        <w:top w:val="none" w:sz="0" w:space="0" w:color="auto"/>
        <w:left w:val="single" w:sz="36" w:space="14" w:color="A855F7"/>
        <w:bottom w:val="none" w:sz="0" w:space="0" w:color="auto"/>
        <w:right w:val="none" w:sz="0" w:space="0" w:color="auto"/>
      </w:divBdr>
    </w:div>
    <w:div w:id="743066948">
      <w:blockQuote w:val="1"/>
      <w:marLeft w:val="0"/>
      <w:marRight w:val="0"/>
      <w:marTop w:val="200"/>
      <w:marBottom w:val="200"/>
      <w:divBdr>
        <w:top w:val="none" w:sz="0" w:space="0" w:color="auto"/>
        <w:left w:val="single" w:sz="36" w:space="14" w:color="A855F7"/>
        <w:bottom w:val="none" w:sz="0" w:space="0" w:color="auto"/>
        <w:right w:val="none" w:sz="0" w:space="0" w:color="auto"/>
      </w:divBdr>
    </w:div>
    <w:div w:id="783962642">
      <w:blockQuote w:val="1"/>
      <w:marLeft w:val="0"/>
      <w:marRight w:val="0"/>
      <w:marTop w:val="200"/>
      <w:marBottom w:val="200"/>
      <w:divBdr>
        <w:top w:val="none" w:sz="0" w:space="0" w:color="auto"/>
        <w:left w:val="single" w:sz="36" w:space="14" w:color="A855F7"/>
        <w:bottom w:val="none" w:sz="0" w:space="0" w:color="auto"/>
        <w:right w:val="none" w:sz="0" w:space="0" w:color="auto"/>
      </w:divBdr>
    </w:div>
    <w:div w:id="802388483">
      <w:marLeft w:val="0"/>
      <w:marRight w:val="0"/>
      <w:marTop w:val="0"/>
      <w:marBottom w:val="0"/>
      <w:divBdr>
        <w:top w:val="none" w:sz="0" w:space="0" w:color="auto"/>
        <w:left w:val="none" w:sz="0" w:space="0" w:color="auto"/>
        <w:bottom w:val="none" w:sz="0" w:space="0" w:color="auto"/>
        <w:right w:val="none" w:sz="0" w:space="0" w:color="auto"/>
      </w:divBdr>
    </w:div>
    <w:div w:id="815605069">
      <w:marLeft w:val="0"/>
      <w:marRight w:val="0"/>
      <w:marTop w:val="0"/>
      <w:marBottom w:val="0"/>
      <w:divBdr>
        <w:top w:val="none" w:sz="0" w:space="0" w:color="auto"/>
        <w:left w:val="none" w:sz="0" w:space="0" w:color="auto"/>
        <w:bottom w:val="none" w:sz="0" w:space="0" w:color="auto"/>
        <w:right w:val="none" w:sz="0" w:space="0" w:color="auto"/>
      </w:divBdr>
    </w:div>
    <w:div w:id="874661296">
      <w:blockQuote w:val="1"/>
      <w:marLeft w:val="0"/>
      <w:marRight w:val="0"/>
      <w:marTop w:val="200"/>
      <w:marBottom w:val="200"/>
      <w:divBdr>
        <w:top w:val="none" w:sz="0" w:space="0" w:color="auto"/>
        <w:left w:val="single" w:sz="36" w:space="14" w:color="A855F7"/>
        <w:bottom w:val="none" w:sz="0" w:space="0" w:color="auto"/>
        <w:right w:val="none" w:sz="0" w:space="0" w:color="auto"/>
      </w:divBdr>
    </w:div>
    <w:div w:id="896941554">
      <w:blockQuote w:val="1"/>
      <w:marLeft w:val="0"/>
      <w:marRight w:val="0"/>
      <w:marTop w:val="200"/>
      <w:marBottom w:val="200"/>
      <w:divBdr>
        <w:top w:val="none" w:sz="0" w:space="0" w:color="auto"/>
        <w:left w:val="single" w:sz="36" w:space="14" w:color="A855F7"/>
        <w:bottom w:val="none" w:sz="0" w:space="0" w:color="auto"/>
        <w:right w:val="none" w:sz="0" w:space="0" w:color="auto"/>
      </w:divBdr>
    </w:div>
    <w:div w:id="897125942">
      <w:marLeft w:val="0"/>
      <w:marRight w:val="0"/>
      <w:marTop w:val="0"/>
      <w:marBottom w:val="0"/>
      <w:divBdr>
        <w:top w:val="none" w:sz="0" w:space="0" w:color="auto"/>
        <w:left w:val="none" w:sz="0" w:space="0" w:color="auto"/>
        <w:bottom w:val="none" w:sz="0" w:space="0" w:color="auto"/>
        <w:right w:val="none" w:sz="0" w:space="0" w:color="auto"/>
      </w:divBdr>
    </w:div>
    <w:div w:id="963117640">
      <w:blockQuote w:val="1"/>
      <w:marLeft w:val="0"/>
      <w:marRight w:val="0"/>
      <w:marTop w:val="200"/>
      <w:marBottom w:val="200"/>
      <w:divBdr>
        <w:top w:val="none" w:sz="0" w:space="0" w:color="auto"/>
        <w:left w:val="single" w:sz="36" w:space="14" w:color="A855F7"/>
        <w:bottom w:val="none" w:sz="0" w:space="0" w:color="auto"/>
        <w:right w:val="none" w:sz="0" w:space="0" w:color="auto"/>
      </w:divBdr>
    </w:div>
    <w:div w:id="977103296">
      <w:marLeft w:val="0"/>
      <w:marRight w:val="0"/>
      <w:marTop w:val="0"/>
      <w:marBottom w:val="0"/>
      <w:divBdr>
        <w:top w:val="none" w:sz="0" w:space="0" w:color="auto"/>
        <w:left w:val="none" w:sz="0" w:space="0" w:color="auto"/>
        <w:bottom w:val="none" w:sz="0" w:space="0" w:color="auto"/>
        <w:right w:val="none" w:sz="0" w:space="0" w:color="auto"/>
      </w:divBdr>
    </w:div>
    <w:div w:id="990526096">
      <w:marLeft w:val="0"/>
      <w:marRight w:val="0"/>
      <w:marTop w:val="0"/>
      <w:marBottom w:val="0"/>
      <w:divBdr>
        <w:top w:val="none" w:sz="0" w:space="0" w:color="auto"/>
        <w:left w:val="none" w:sz="0" w:space="0" w:color="auto"/>
        <w:bottom w:val="none" w:sz="0" w:space="0" w:color="auto"/>
        <w:right w:val="none" w:sz="0" w:space="0" w:color="auto"/>
      </w:divBdr>
    </w:div>
    <w:div w:id="991249649">
      <w:marLeft w:val="0"/>
      <w:marRight w:val="0"/>
      <w:marTop w:val="0"/>
      <w:marBottom w:val="0"/>
      <w:divBdr>
        <w:top w:val="none" w:sz="0" w:space="0" w:color="auto"/>
        <w:left w:val="none" w:sz="0" w:space="0" w:color="auto"/>
        <w:bottom w:val="none" w:sz="0" w:space="0" w:color="auto"/>
        <w:right w:val="none" w:sz="0" w:space="0" w:color="auto"/>
      </w:divBdr>
    </w:div>
    <w:div w:id="1004355008">
      <w:blockQuote w:val="1"/>
      <w:marLeft w:val="0"/>
      <w:marRight w:val="0"/>
      <w:marTop w:val="200"/>
      <w:marBottom w:val="200"/>
      <w:divBdr>
        <w:top w:val="none" w:sz="0" w:space="0" w:color="auto"/>
        <w:left w:val="single" w:sz="36" w:space="14" w:color="A855F7"/>
        <w:bottom w:val="none" w:sz="0" w:space="0" w:color="auto"/>
        <w:right w:val="none" w:sz="0" w:space="0" w:color="auto"/>
      </w:divBdr>
    </w:div>
    <w:div w:id="1006206143">
      <w:marLeft w:val="0"/>
      <w:marRight w:val="0"/>
      <w:marTop w:val="0"/>
      <w:marBottom w:val="0"/>
      <w:divBdr>
        <w:top w:val="none" w:sz="0" w:space="0" w:color="auto"/>
        <w:left w:val="none" w:sz="0" w:space="0" w:color="auto"/>
        <w:bottom w:val="none" w:sz="0" w:space="0" w:color="auto"/>
        <w:right w:val="none" w:sz="0" w:space="0" w:color="auto"/>
      </w:divBdr>
    </w:div>
    <w:div w:id="1020469281">
      <w:marLeft w:val="0"/>
      <w:marRight w:val="0"/>
      <w:marTop w:val="0"/>
      <w:marBottom w:val="0"/>
      <w:divBdr>
        <w:top w:val="none" w:sz="0" w:space="0" w:color="auto"/>
        <w:left w:val="none" w:sz="0" w:space="0" w:color="auto"/>
        <w:bottom w:val="none" w:sz="0" w:space="0" w:color="auto"/>
        <w:right w:val="none" w:sz="0" w:space="0" w:color="auto"/>
      </w:divBdr>
    </w:div>
    <w:div w:id="1038047336">
      <w:marLeft w:val="0"/>
      <w:marRight w:val="0"/>
      <w:marTop w:val="0"/>
      <w:marBottom w:val="0"/>
      <w:divBdr>
        <w:top w:val="none" w:sz="0" w:space="0" w:color="auto"/>
        <w:left w:val="none" w:sz="0" w:space="0" w:color="auto"/>
        <w:bottom w:val="none" w:sz="0" w:space="0" w:color="auto"/>
        <w:right w:val="none" w:sz="0" w:space="0" w:color="auto"/>
      </w:divBdr>
    </w:div>
    <w:div w:id="1052776434">
      <w:blockQuote w:val="1"/>
      <w:marLeft w:val="0"/>
      <w:marRight w:val="0"/>
      <w:marTop w:val="200"/>
      <w:marBottom w:val="200"/>
      <w:divBdr>
        <w:top w:val="none" w:sz="0" w:space="0" w:color="auto"/>
        <w:left w:val="single" w:sz="36" w:space="14" w:color="A855F7"/>
        <w:bottom w:val="none" w:sz="0" w:space="0" w:color="auto"/>
        <w:right w:val="none" w:sz="0" w:space="0" w:color="auto"/>
      </w:divBdr>
    </w:div>
    <w:div w:id="1054695527">
      <w:marLeft w:val="0"/>
      <w:marRight w:val="0"/>
      <w:marTop w:val="0"/>
      <w:marBottom w:val="0"/>
      <w:divBdr>
        <w:top w:val="none" w:sz="0" w:space="0" w:color="auto"/>
        <w:left w:val="none" w:sz="0" w:space="0" w:color="auto"/>
        <w:bottom w:val="none" w:sz="0" w:space="0" w:color="auto"/>
        <w:right w:val="none" w:sz="0" w:space="0" w:color="auto"/>
      </w:divBdr>
    </w:div>
    <w:div w:id="1081873935">
      <w:marLeft w:val="0"/>
      <w:marRight w:val="0"/>
      <w:marTop w:val="0"/>
      <w:marBottom w:val="0"/>
      <w:divBdr>
        <w:top w:val="none" w:sz="0" w:space="0" w:color="auto"/>
        <w:left w:val="none" w:sz="0" w:space="0" w:color="auto"/>
        <w:bottom w:val="none" w:sz="0" w:space="0" w:color="auto"/>
        <w:right w:val="none" w:sz="0" w:space="0" w:color="auto"/>
      </w:divBdr>
    </w:div>
    <w:div w:id="1094084054">
      <w:blockQuote w:val="1"/>
      <w:marLeft w:val="0"/>
      <w:marRight w:val="0"/>
      <w:marTop w:val="200"/>
      <w:marBottom w:val="200"/>
      <w:divBdr>
        <w:top w:val="none" w:sz="0" w:space="0" w:color="auto"/>
        <w:left w:val="single" w:sz="36" w:space="14" w:color="A855F7"/>
        <w:bottom w:val="none" w:sz="0" w:space="0" w:color="auto"/>
        <w:right w:val="none" w:sz="0" w:space="0" w:color="auto"/>
      </w:divBdr>
    </w:div>
    <w:div w:id="1118841282">
      <w:blockQuote w:val="1"/>
      <w:marLeft w:val="0"/>
      <w:marRight w:val="0"/>
      <w:marTop w:val="200"/>
      <w:marBottom w:val="200"/>
      <w:divBdr>
        <w:top w:val="none" w:sz="0" w:space="0" w:color="auto"/>
        <w:left w:val="single" w:sz="36" w:space="14" w:color="A855F7"/>
        <w:bottom w:val="none" w:sz="0" w:space="0" w:color="auto"/>
        <w:right w:val="none" w:sz="0" w:space="0" w:color="auto"/>
      </w:divBdr>
    </w:div>
    <w:div w:id="1118913999">
      <w:marLeft w:val="0"/>
      <w:marRight w:val="0"/>
      <w:marTop w:val="0"/>
      <w:marBottom w:val="0"/>
      <w:divBdr>
        <w:top w:val="none" w:sz="0" w:space="0" w:color="auto"/>
        <w:left w:val="none" w:sz="0" w:space="0" w:color="auto"/>
        <w:bottom w:val="none" w:sz="0" w:space="0" w:color="auto"/>
        <w:right w:val="none" w:sz="0" w:space="0" w:color="auto"/>
      </w:divBdr>
    </w:div>
    <w:div w:id="1134710678">
      <w:marLeft w:val="0"/>
      <w:marRight w:val="0"/>
      <w:marTop w:val="0"/>
      <w:marBottom w:val="0"/>
      <w:divBdr>
        <w:top w:val="none" w:sz="0" w:space="0" w:color="auto"/>
        <w:left w:val="none" w:sz="0" w:space="0" w:color="auto"/>
        <w:bottom w:val="none" w:sz="0" w:space="0" w:color="auto"/>
        <w:right w:val="none" w:sz="0" w:space="0" w:color="auto"/>
      </w:divBdr>
    </w:div>
    <w:div w:id="1143353247">
      <w:marLeft w:val="0"/>
      <w:marRight w:val="0"/>
      <w:marTop w:val="600"/>
      <w:marBottom w:val="0"/>
      <w:divBdr>
        <w:top w:val="none" w:sz="0" w:space="0" w:color="auto"/>
        <w:left w:val="none" w:sz="0" w:space="0" w:color="auto"/>
        <w:bottom w:val="none" w:sz="0" w:space="0" w:color="auto"/>
        <w:right w:val="none" w:sz="0" w:space="0" w:color="auto"/>
      </w:divBdr>
      <w:divsChild>
        <w:div w:id="1113553807">
          <w:marLeft w:val="0"/>
          <w:marRight w:val="0"/>
          <w:marTop w:val="120"/>
          <w:marBottom w:val="120"/>
          <w:divBdr>
            <w:top w:val="none" w:sz="0" w:space="0" w:color="auto"/>
            <w:left w:val="none" w:sz="0" w:space="0" w:color="auto"/>
            <w:bottom w:val="none" w:sz="0" w:space="0" w:color="auto"/>
            <w:right w:val="none" w:sz="0" w:space="0" w:color="auto"/>
          </w:divBdr>
        </w:div>
        <w:div w:id="1337608752">
          <w:marLeft w:val="0"/>
          <w:marRight w:val="0"/>
          <w:marTop w:val="120"/>
          <w:marBottom w:val="120"/>
          <w:divBdr>
            <w:top w:val="none" w:sz="0" w:space="0" w:color="auto"/>
            <w:left w:val="none" w:sz="0" w:space="0" w:color="auto"/>
            <w:bottom w:val="none" w:sz="0" w:space="0" w:color="auto"/>
            <w:right w:val="none" w:sz="0" w:space="0" w:color="auto"/>
          </w:divBdr>
        </w:div>
        <w:div w:id="865100712">
          <w:marLeft w:val="0"/>
          <w:marRight w:val="0"/>
          <w:marTop w:val="120"/>
          <w:marBottom w:val="120"/>
          <w:divBdr>
            <w:top w:val="none" w:sz="0" w:space="0" w:color="auto"/>
            <w:left w:val="none" w:sz="0" w:space="0" w:color="auto"/>
            <w:bottom w:val="none" w:sz="0" w:space="0" w:color="auto"/>
            <w:right w:val="none" w:sz="0" w:space="0" w:color="auto"/>
          </w:divBdr>
        </w:div>
      </w:divsChild>
    </w:div>
    <w:div w:id="1154026555">
      <w:blockQuote w:val="1"/>
      <w:marLeft w:val="0"/>
      <w:marRight w:val="0"/>
      <w:marTop w:val="200"/>
      <w:marBottom w:val="200"/>
      <w:divBdr>
        <w:top w:val="none" w:sz="0" w:space="0" w:color="auto"/>
        <w:left w:val="single" w:sz="36" w:space="14" w:color="A855F7"/>
        <w:bottom w:val="none" w:sz="0" w:space="0" w:color="auto"/>
        <w:right w:val="none" w:sz="0" w:space="0" w:color="auto"/>
      </w:divBdr>
    </w:div>
    <w:div w:id="1214805007">
      <w:blockQuote w:val="1"/>
      <w:marLeft w:val="0"/>
      <w:marRight w:val="0"/>
      <w:marTop w:val="200"/>
      <w:marBottom w:val="200"/>
      <w:divBdr>
        <w:top w:val="none" w:sz="0" w:space="0" w:color="auto"/>
        <w:left w:val="single" w:sz="36" w:space="14" w:color="A855F7"/>
        <w:bottom w:val="none" w:sz="0" w:space="0" w:color="auto"/>
        <w:right w:val="none" w:sz="0" w:space="0" w:color="auto"/>
      </w:divBdr>
    </w:div>
    <w:div w:id="1258322107">
      <w:blockQuote w:val="1"/>
      <w:marLeft w:val="0"/>
      <w:marRight w:val="0"/>
      <w:marTop w:val="200"/>
      <w:marBottom w:val="200"/>
      <w:divBdr>
        <w:top w:val="none" w:sz="0" w:space="0" w:color="auto"/>
        <w:left w:val="single" w:sz="36" w:space="14" w:color="A855F7"/>
        <w:bottom w:val="none" w:sz="0" w:space="0" w:color="auto"/>
        <w:right w:val="none" w:sz="0" w:space="0" w:color="auto"/>
      </w:divBdr>
    </w:div>
    <w:div w:id="1268928669">
      <w:marLeft w:val="0"/>
      <w:marRight w:val="0"/>
      <w:marTop w:val="0"/>
      <w:marBottom w:val="0"/>
      <w:divBdr>
        <w:top w:val="none" w:sz="0" w:space="0" w:color="auto"/>
        <w:left w:val="none" w:sz="0" w:space="0" w:color="auto"/>
        <w:bottom w:val="none" w:sz="0" w:space="0" w:color="auto"/>
        <w:right w:val="none" w:sz="0" w:space="0" w:color="auto"/>
      </w:divBdr>
    </w:div>
    <w:div w:id="1332827977">
      <w:marLeft w:val="0"/>
      <w:marRight w:val="0"/>
      <w:marTop w:val="0"/>
      <w:marBottom w:val="0"/>
      <w:divBdr>
        <w:top w:val="none" w:sz="0" w:space="0" w:color="auto"/>
        <w:left w:val="none" w:sz="0" w:space="0" w:color="auto"/>
        <w:bottom w:val="none" w:sz="0" w:space="0" w:color="auto"/>
        <w:right w:val="none" w:sz="0" w:space="0" w:color="auto"/>
      </w:divBdr>
    </w:div>
    <w:div w:id="1388341178">
      <w:blockQuote w:val="1"/>
      <w:marLeft w:val="0"/>
      <w:marRight w:val="0"/>
      <w:marTop w:val="200"/>
      <w:marBottom w:val="200"/>
      <w:divBdr>
        <w:top w:val="none" w:sz="0" w:space="0" w:color="auto"/>
        <w:left w:val="single" w:sz="36" w:space="14" w:color="A855F7"/>
        <w:bottom w:val="none" w:sz="0" w:space="0" w:color="auto"/>
        <w:right w:val="none" w:sz="0" w:space="0" w:color="auto"/>
      </w:divBdr>
    </w:div>
    <w:div w:id="1467351098">
      <w:blockQuote w:val="1"/>
      <w:marLeft w:val="0"/>
      <w:marRight w:val="0"/>
      <w:marTop w:val="200"/>
      <w:marBottom w:val="200"/>
      <w:divBdr>
        <w:top w:val="none" w:sz="0" w:space="0" w:color="auto"/>
        <w:left w:val="single" w:sz="36" w:space="14" w:color="A855F7"/>
        <w:bottom w:val="none" w:sz="0" w:space="0" w:color="auto"/>
        <w:right w:val="none" w:sz="0" w:space="0" w:color="auto"/>
      </w:divBdr>
    </w:div>
    <w:div w:id="1479497373">
      <w:marLeft w:val="0"/>
      <w:marRight w:val="0"/>
      <w:marTop w:val="0"/>
      <w:marBottom w:val="0"/>
      <w:divBdr>
        <w:top w:val="none" w:sz="0" w:space="0" w:color="auto"/>
        <w:left w:val="none" w:sz="0" w:space="0" w:color="auto"/>
        <w:bottom w:val="none" w:sz="0" w:space="0" w:color="auto"/>
        <w:right w:val="none" w:sz="0" w:space="0" w:color="auto"/>
      </w:divBdr>
    </w:div>
    <w:div w:id="1491946794">
      <w:marLeft w:val="0"/>
      <w:marRight w:val="0"/>
      <w:marTop w:val="0"/>
      <w:marBottom w:val="0"/>
      <w:divBdr>
        <w:top w:val="none" w:sz="0" w:space="0" w:color="auto"/>
        <w:left w:val="none" w:sz="0" w:space="0" w:color="auto"/>
        <w:bottom w:val="none" w:sz="0" w:space="0" w:color="auto"/>
        <w:right w:val="none" w:sz="0" w:space="0" w:color="auto"/>
      </w:divBdr>
    </w:div>
    <w:div w:id="1500191652">
      <w:marLeft w:val="0"/>
      <w:marRight w:val="0"/>
      <w:marTop w:val="0"/>
      <w:marBottom w:val="0"/>
      <w:divBdr>
        <w:top w:val="none" w:sz="0" w:space="0" w:color="auto"/>
        <w:left w:val="none" w:sz="0" w:space="0" w:color="auto"/>
        <w:bottom w:val="none" w:sz="0" w:space="0" w:color="auto"/>
        <w:right w:val="none" w:sz="0" w:space="0" w:color="auto"/>
      </w:divBdr>
    </w:div>
    <w:div w:id="1515682541">
      <w:marLeft w:val="0"/>
      <w:marRight w:val="0"/>
      <w:marTop w:val="0"/>
      <w:marBottom w:val="0"/>
      <w:divBdr>
        <w:top w:val="none" w:sz="0" w:space="0" w:color="auto"/>
        <w:left w:val="none" w:sz="0" w:space="0" w:color="auto"/>
        <w:bottom w:val="none" w:sz="0" w:space="0" w:color="auto"/>
        <w:right w:val="none" w:sz="0" w:space="0" w:color="auto"/>
      </w:divBdr>
    </w:div>
    <w:div w:id="1538355626">
      <w:marLeft w:val="0"/>
      <w:marRight w:val="0"/>
      <w:marTop w:val="0"/>
      <w:marBottom w:val="0"/>
      <w:divBdr>
        <w:top w:val="none" w:sz="0" w:space="0" w:color="auto"/>
        <w:left w:val="none" w:sz="0" w:space="0" w:color="auto"/>
        <w:bottom w:val="none" w:sz="0" w:space="0" w:color="auto"/>
        <w:right w:val="none" w:sz="0" w:space="0" w:color="auto"/>
      </w:divBdr>
    </w:div>
    <w:div w:id="1669597031">
      <w:marLeft w:val="0"/>
      <w:marRight w:val="0"/>
      <w:marTop w:val="0"/>
      <w:marBottom w:val="0"/>
      <w:divBdr>
        <w:top w:val="none" w:sz="0" w:space="0" w:color="auto"/>
        <w:left w:val="none" w:sz="0" w:space="0" w:color="auto"/>
        <w:bottom w:val="none" w:sz="0" w:space="0" w:color="auto"/>
        <w:right w:val="none" w:sz="0" w:space="0" w:color="auto"/>
      </w:divBdr>
    </w:div>
    <w:div w:id="1710297331">
      <w:marLeft w:val="0"/>
      <w:marRight w:val="0"/>
      <w:marTop w:val="0"/>
      <w:marBottom w:val="0"/>
      <w:divBdr>
        <w:top w:val="none" w:sz="0" w:space="0" w:color="auto"/>
        <w:left w:val="none" w:sz="0" w:space="0" w:color="auto"/>
        <w:bottom w:val="none" w:sz="0" w:space="0" w:color="auto"/>
        <w:right w:val="none" w:sz="0" w:space="0" w:color="auto"/>
      </w:divBdr>
    </w:div>
    <w:div w:id="1745910574">
      <w:blockQuote w:val="1"/>
      <w:marLeft w:val="0"/>
      <w:marRight w:val="0"/>
      <w:marTop w:val="200"/>
      <w:marBottom w:val="200"/>
      <w:divBdr>
        <w:top w:val="none" w:sz="0" w:space="0" w:color="auto"/>
        <w:left w:val="single" w:sz="36" w:space="14" w:color="A855F7"/>
        <w:bottom w:val="none" w:sz="0" w:space="0" w:color="auto"/>
        <w:right w:val="none" w:sz="0" w:space="0" w:color="auto"/>
      </w:divBdr>
    </w:div>
    <w:div w:id="1783958837">
      <w:marLeft w:val="0"/>
      <w:marRight w:val="0"/>
      <w:marTop w:val="0"/>
      <w:marBottom w:val="0"/>
      <w:divBdr>
        <w:top w:val="none" w:sz="0" w:space="0" w:color="auto"/>
        <w:left w:val="none" w:sz="0" w:space="0" w:color="auto"/>
        <w:bottom w:val="none" w:sz="0" w:space="0" w:color="auto"/>
        <w:right w:val="none" w:sz="0" w:space="0" w:color="auto"/>
      </w:divBdr>
    </w:div>
    <w:div w:id="1792241110">
      <w:marLeft w:val="0"/>
      <w:marRight w:val="0"/>
      <w:marTop w:val="0"/>
      <w:marBottom w:val="0"/>
      <w:divBdr>
        <w:top w:val="none" w:sz="0" w:space="0" w:color="auto"/>
        <w:left w:val="none" w:sz="0" w:space="0" w:color="auto"/>
        <w:bottom w:val="none" w:sz="0" w:space="0" w:color="auto"/>
        <w:right w:val="none" w:sz="0" w:space="0" w:color="auto"/>
      </w:divBdr>
    </w:div>
    <w:div w:id="1846363585">
      <w:blockQuote w:val="1"/>
      <w:marLeft w:val="0"/>
      <w:marRight w:val="0"/>
      <w:marTop w:val="200"/>
      <w:marBottom w:val="200"/>
      <w:divBdr>
        <w:top w:val="none" w:sz="0" w:space="0" w:color="auto"/>
        <w:left w:val="single" w:sz="36" w:space="14" w:color="A855F7"/>
        <w:bottom w:val="none" w:sz="0" w:space="0" w:color="auto"/>
        <w:right w:val="none" w:sz="0" w:space="0" w:color="auto"/>
      </w:divBdr>
    </w:div>
    <w:div w:id="1944343830">
      <w:marLeft w:val="0"/>
      <w:marRight w:val="0"/>
      <w:marTop w:val="0"/>
      <w:marBottom w:val="480"/>
      <w:divBdr>
        <w:top w:val="none" w:sz="0" w:space="0" w:color="auto"/>
        <w:left w:val="none" w:sz="0" w:space="0" w:color="auto"/>
        <w:bottom w:val="none" w:sz="0" w:space="0" w:color="auto"/>
        <w:right w:val="none" w:sz="0" w:space="0" w:color="auto"/>
      </w:divBdr>
      <w:divsChild>
        <w:div w:id="1355769018">
          <w:marLeft w:val="0"/>
          <w:marRight w:val="0"/>
          <w:marTop w:val="0"/>
          <w:marBottom w:val="160"/>
          <w:divBdr>
            <w:top w:val="none" w:sz="0" w:space="0" w:color="auto"/>
            <w:left w:val="none" w:sz="0" w:space="0" w:color="auto"/>
            <w:bottom w:val="none" w:sz="0" w:space="0" w:color="auto"/>
            <w:right w:val="none" w:sz="0" w:space="0" w:color="auto"/>
          </w:divBdr>
        </w:div>
        <w:div w:id="1335717598">
          <w:marLeft w:val="0"/>
          <w:marRight w:val="0"/>
          <w:marTop w:val="0"/>
          <w:marBottom w:val="240"/>
          <w:divBdr>
            <w:top w:val="none" w:sz="0" w:space="0" w:color="auto"/>
            <w:left w:val="none" w:sz="0" w:space="0" w:color="auto"/>
            <w:bottom w:val="none" w:sz="0" w:space="0" w:color="auto"/>
            <w:right w:val="none" w:sz="0" w:space="0" w:color="auto"/>
          </w:divBdr>
        </w:div>
        <w:div w:id="1630895883">
          <w:marLeft w:val="0"/>
          <w:marRight w:val="0"/>
          <w:marTop w:val="0"/>
          <w:marBottom w:val="400"/>
          <w:divBdr>
            <w:top w:val="none" w:sz="0" w:space="0" w:color="auto"/>
            <w:left w:val="none" w:sz="0" w:space="0" w:color="auto"/>
            <w:bottom w:val="none" w:sz="0" w:space="0" w:color="auto"/>
            <w:right w:val="none" w:sz="0" w:space="0" w:color="auto"/>
          </w:divBdr>
        </w:div>
      </w:divsChild>
    </w:div>
    <w:div w:id="1950625368">
      <w:marLeft w:val="0"/>
      <w:marRight w:val="0"/>
      <w:marTop w:val="0"/>
      <w:marBottom w:val="0"/>
      <w:divBdr>
        <w:top w:val="none" w:sz="0" w:space="0" w:color="auto"/>
        <w:left w:val="none" w:sz="0" w:space="0" w:color="auto"/>
        <w:bottom w:val="none" w:sz="0" w:space="0" w:color="auto"/>
        <w:right w:val="none" w:sz="0" w:space="0" w:color="auto"/>
      </w:divBdr>
    </w:div>
    <w:div w:id="1958558380">
      <w:blockQuote w:val="1"/>
      <w:marLeft w:val="0"/>
      <w:marRight w:val="0"/>
      <w:marTop w:val="200"/>
      <w:marBottom w:val="200"/>
      <w:divBdr>
        <w:top w:val="none" w:sz="0" w:space="0" w:color="auto"/>
        <w:left w:val="single" w:sz="36" w:space="14" w:color="A855F7"/>
        <w:bottom w:val="none" w:sz="0" w:space="0" w:color="auto"/>
        <w:right w:val="none" w:sz="0" w:space="0" w:color="auto"/>
      </w:divBdr>
    </w:div>
    <w:div w:id="2028670701">
      <w:marLeft w:val="0"/>
      <w:marRight w:val="0"/>
      <w:marTop w:val="0"/>
      <w:marBottom w:val="0"/>
      <w:divBdr>
        <w:top w:val="none" w:sz="0" w:space="0" w:color="auto"/>
        <w:left w:val="none" w:sz="0" w:space="0" w:color="auto"/>
        <w:bottom w:val="none" w:sz="0" w:space="0" w:color="auto"/>
        <w:right w:val="none" w:sz="0" w:space="0" w:color="auto"/>
      </w:divBdr>
    </w:div>
    <w:div w:id="2089228025">
      <w:marLeft w:val="0"/>
      <w:marRight w:val="0"/>
      <w:marTop w:val="0"/>
      <w:marBottom w:val="0"/>
      <w:divBdr>
        <w:top w:val="none" w:sz="0" w:space="0" w:color="auto"/>
        <w:left w:val="none" w:sz="0" w:space="0" w:color="auto"/>
        <w:bottom w:val="none" w:sz="0" w:space="0" w:color="auto"/>
        <w:right w:val="none" w:sz="0" w:space="0" w:color="auto"/>
      </w:divBdr>
    </w:div>
    <w:div w:id="2089307831">
      <w:marLeft w:val="0"/>
      <w:marRight w:val="0"/>
      <w:marTop w:val="0"/>
      <w:marBottom w:val="0"/>
      <w:divBdr>
        <w:top w:val="none" w:sz="0" w:space="0" w:color="auto"/>
        <w:left w:val="none" w:sz="0" w:space="0" w:color="auto"/>
        <w:bottom w:val="none" w:sz="0" w:space="0" w:color="auto"/>
        <w:right w:val="none" w:sz="0" w:space="0" w:color="auto"/>
      </w:divBdr>
    </w:div>
    <w:div w:id="2136827619">
      <w:blockQuote w:val="1"/>
      <w:marLeft w:val="0"/>
      <w:marRight w:val="0"/>
      <w:marTop w:val="200"/>
      <w:marBottom w:val="200"/>
      <w:divBdr>
        <w:top w:val="none" w:sz="0" w:space="0" w:color="auto"/>
        <w:left w:val="single" w:sz="36" w:space="14" w:color="A855F7"/>
        <w:bottom w:val="none" w:sz="0" w:space="0" w:color="auto"/>
        <w:right w:val="none" w:sz="0" w:space="0" w:color="auto"/>
      </w:divBdr>
    </w:div>
    <w:div w:id="2143690938">
      <w:blockQuote w:val="1"/>
      <w:marLeft w:val="0"/>
      <w:marRight w:val="0"/>
      <w:marTop w:val="200"/>
      <w:marBottom w:val="200"/>
      <w:divBdr>
        <w:top w:val="none" w:sz="0" w:space="0" w:color="auto"/>
        <w:left w:val="single" w:sz="36" w:space="14" w:color="A855F7"/>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ficialintelligenceact.eu" TargetMode="External"/><Relationship Id="rId3" Type="http://schemas.openxmlformats.org/officeDocument/2006/relationships/settings" Target="settings.xml"/><Relationship Id="rId7" Type="http://schemas.openxmlformats.org/officeDocument/2006/relationships/hyperlink" Target="https://airc.nist.gov/RM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ra.dev" TargetMode="External"/><Relationship Id="rId5" Type="http://schemas.openxmlformats.org/officeDocument/2006/relationships/hyperlink" Target="https://cisr.mit.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45683</Words>
  <Characters>252630</Characters>
  <Application>Microsoft Office Word</Application>
  <DocSecurity>0</DocSecurity>
  <Lines>7655</Lines>
  <Paragraphs>3013</Paragraphs>
  <ScaleCrop>false</ScaleCrop>
  <Company/>
  <LinksUpToDate>false</LinksUpToDate>
  <CharactersWithSpaces>295300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de Trabalho — Maturidade em IA</dc:title>
  <dc:subject/>
  <dc:creator>Alessandro Milagres</dc:creator>
  <cp:keywords/>
  <dc:description/>
  <cp:lastModifiedBy>Alessandro Milagres</cp:lastModifiedBy>
  <cp:revision>2</cp:revision>
  <dcterms:created xsi:type="dcterms:W3CDTF">2026-06-18T17:12:00Z</dcterms:created>
  <dcterms:modified xsi:type="dcterms:W3CDTF">2026-06-18T17:12:00Z</dcterms:modified>
</cp:coreProperties>
</file>