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A1520" w:val="clear"/>
            <w:tcMar>
              <w:top w:type="dxa" w:w="560"/>
              <w:left w:type="dxa" w:w="520"/>
              <w:bottom w:type="dxa" w:w="560"/>
              <w:right w:type="dxa" w:w="520"/>
            </w:tcMar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C2A8"/>
                <w:sz w:val="18"/>
                <w:szCs w:val="18"/>
              </w:rPr>
              <w:t xml:space="preserve">Blueprint de Maturidade IA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Documento de Prova de Valor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008F7A"/>
                <w:sz w:val="20"/>
                <w:szCs w:val="20"/>
              </w:rPr>
              <w:t xml:space="preserve">Como o Blueprint transforma diagnóstico em resultados mensuráveis de negócio</w:t>
            </w:r>
          </w:p>
          <w:p>
            <w:pPr>
              <w:spacing w:after="16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Empresa aplicante:</w:t>
            </w:r>
          </w:p>
          <w:p>
            <w:pPr>
              <w:spacing w:after="24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"Empresa Teste Modelo"</w:t>
            </w:r>
          </w:p>
          <w:p>
            <w:pPr>
              <w:spacing w:after="2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F7A"/>
                <w:sz w:val="17"/>
                <w:szCs w:val="17"/>
              </w:rPr>
              <w:t xml:space="preserve">Setor de Tecnologia  ·  15 Avaliadores  ·  16 Dimensões  ·  Score Geral: 2,31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Estrutura do documento: 3 momentos  —  Antes · Durante · Depois</w:t>
            </w:r>
          </w:p>
        </w:tc>
      </w:tr>
    </w:tbl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Por que este documento existe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O BluePrint de Maturidade IA é uma metodologia de diagnóstico e transformação baseada no MIT CISR Enterprise AI Maturity Model. Para comprovar que funciona, este documento registra os 3 momentos da jornada de "Empresa Teste Modelo" — uma empresa de tecnologia que aplicou o BluePrint em si mesma antes de oferecê-lo a clientes. A estrutura é simples: o que existia antes, o que foi feito, e o que mudou.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MOMENTO 1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ANTES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ECEA"/>
                <w:sz w:val="16"/>
                <w:szCs w:val="16"/>
              </w:rPr>
              <w:t xml:space="preserve">Diagnóstico completo das 16 dimensões com 15 avaliadores internos. Score, gaps e evidências críticas.</w:t>
            </w:r>
          </w:p>
        </w:tc>
        <w:tc>
          <w:tcPr>
            <w:tcW w:type="dxa" w:w="312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1A5E8A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MOMENTO 2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DURANTE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DDEEFF"/>
                <w:sz w:val="16"/>
                <w:szCs w:val="16"/>
              </w:rPr>
              <w:t xml:space="preserve">Plano de ação distribuído por 5 responsáveis. Ações comprometidas, prazos e metas de score definidas.</w:t>
            </w:r>
          </w:p>
        </w:tc>
        <w:tc>
          <w:tcPr>
            <w:tcW w:type="dxa" w:w="312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1E8449" w:val="clear"/>
            <w:tcMar>
              <w:top w:type="dxa" w:w="100"/>
              <w:left w:type="dxa" w:w="120"/>
              <w:bottom w:type="dxa" w:w="100"/>
              <w:right w:type="dxa" w:w="100"/>
            </w:tcMar>
          </w:tcPr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MOMENTO 3</w:t>
            </w:r>
          </w:p>
          <w:p>
            <w:pPr>
              <w:spacing w:after="1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DEPOIS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AF3DE"/>
                <w:sz w:val="16"/>
                <w:szCs w:val="16"/>
              </w:rPr>
              <w:t xml:space="preserve">Nova medição após 90–120 dias de execução. Delta de score, impacto observado, valor gerado.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MOMENTO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1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26"/>
                <w:szCs w:val="26"/>
              </w:rPr>
              <w:t xml:space="preserve">ANTES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6"/>
                <w:szCs w:val="16"/>
              </w:rPr>
              <w:t xml:space="preserve">O diagnóstico — onde a empresa estava no início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Contexto do diagnóstico</w:t>
      </w:r>
    </w:p>
    <w:p>
      <w:pPr>
        <w:spacing w:after="120" w:before="0"/>
        <w:jc w:val="left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"Empresa Teste Modelo"</w:t>
      </w: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 é uma empresa de tecnologia e serviços de TI com mais de 500 colaboradores que aplicou o BluePrint de Maturidade IA internamente, com </w:t>
      </w: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15 avaliadores</w:t>
      </w: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 cobrindo todos os níveis de liderança. O diagnóstico cobriu as </w:t>
      </w: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16 dimensões do modelo MIT CISR</w:t>
      </w: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 e gerou 108 respostas avaliadas. A metodologia usa escala de 1 a 5 baseada nos estágios de progressão do MIT CISR Enterprise AI Maturity Model (Weill, Woerner &amp; Sebastian, 2024).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0"/>
                <w:szCs w:val="40"/>
              </w:rPr>
              <w:t xml:space="preserve">2,31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520"/>
                <w:sz w:val="17"/>
                <w:szCs w:val="17"/>
              </w:rPr>
              <w:t xml:space="preserve">Score Geral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4"/>
                <w:szCs w:val="14"/>
              </w:rPr>
              <w:t xml:space="preserve">Estágio Oportunista (MIT CISR Estágio 2)</w:t>
            </w:r>
          </w:p>
        </w:tc>
        <w:tc>
          <w:tcPr>
            <w:tcW w:type="dxa" w:w="234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EEF4FF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A5E8A"/>
                <w:sz w:val="40"/>
                <w:szCs w:val="40"/>
              </w:rPr>
              <w:t xml:space="preserve">15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520"/>
                <w:sz w:val="17"/>
                <w:szCs w:val="17"/>
              </w:rPr>
              <w:t xml:space="preserve">Avaliadores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4"/>
                <w:szCs w:val="14"/>
              </w:rPr>
              <w:t xml:space="preserve">Todos os níveis de liderança cobertos</w:t>
            </w:r>
          </w:p>
        </w:tc>
        <w:tc>
          <w:tcPr>
            <w:tcW w:type="dxa" w:w="2340"/>
            <w:tcBorders>
              <w:top w:val="single" w:color="008F7A" w:sz="1"/>
              <w:left w:val="single" w:color="008F7A" w:sz="1"/>
              <w:bottom w:val="single" w:color="008F7A" w:sz="1"/>
              <w:right w:val="single" w:color="008F7A" w:sz="1"/>
            </w:tcBorders>
            <w:shd w:fill="E0F5F1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40"/>
                <w:szCs w:val="40"/>
              </w:rPr>
              <w:t xml:space="preserve">16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520"/>
                <w:sz w:val="17"/>
                <w:szCs w:val="17"/>
              </w:rPr>
              <w:t xml:space="preserve">Dimensões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4"/>
                <w:szCs w:val="14"/>
              </w:rPr>
              <w:t xml:space="preserve">Cobertura completa do modelo MIT CISR</w:t>
            </w:r>
          </w:p>
        </w:tc>
        <w:tc>
          <w:tcPr>
            <w:tcW w:type="dxa" w:w="2340"/>
            <w:tcBorders>
              <w:top w:val="single" w:color="C07800" w:sz="1"/>
              <w:left w:val="single" w:color="C07800" w:sz="1"/>
              <w:bottom w:val="single" w:color="C07800" w:sz="1"/>
              <w:right w:val="single" w:color="C07800" w:sz="1"/>
            </w:tcBorders>
            <w:shd w:fill="FFF0D0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7800"/>
                <w:sz w:val="40"/>
                <w:szCs w:val="40"/>
              </w:rPr>
              <w:t xml:space="preserve">2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A1520"/>
                <w:sz w:val="17"/>
                <w:szCs w:val="17"/>
              </w:rPr>
              <w:t xml:space="preserve">Dimensões críticas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4"/>
                <w:szCs w:val="14"/>
              </w:rPr>
              <w:t xml:space="preserve">Score abaixo de 2.0 — ação imediata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Score das 16 Dimensões — Baseline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Tabela de referência para validação dos resultados no Momento 3. Todas as dimensões com score abaixo de 2.0 são críticas. Entre 2.0 e 2.5 estão abaixo do benchmark setorial de empresas de tecnologia (MIT CISR: média de 2.8 para o setor).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"/>
        <w:gridCol w:w="900"/>
        <w:gridCol w:w="800"/>
        <w:gridCol w:w="3860"/>
      </w:tblGrid>
      <w:tr>
        <w:trPr>
          <w:tblHeader/>
        </w:trP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Nível</w:t>
            </w:r>
          </w:p>
        </w:tc>
        <w:tc>
          <w:tcPr>
            <w:tcW w:type="dxa" w:w="9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Atual</w:t>
            </w:r>
          </w:p>
        </w:tc>
        <w:tc>
          <w:tcPr>
            <w:tcW w:type="dxa" w:w="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Benchmark</w:t>
            </w:r>
          </w:p>
        </w:tc>
        <w:tc>
          <w:tcPr>
            <w:tcW w:type="dxa" w:w="38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Gap / Status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Conformidade Regulatória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1.58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🔴 Crítico — ação imediata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Operações e Processos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8"/>
                <w:szCs w:val="18"/>
              </w:rPr>
              <w:t xml:space="preserve">1.98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🔴 Crítico — ação imediata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Governança e Risco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Valor por Unidade de Negócio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2.07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Talentos e Capacidades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Plataforma e Industrialização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2.14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Dados e Tecnologia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2.16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Estratégia e Liderança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2.21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IA como Gerador de Receita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2.37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Inovação e Experimentação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2.44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A623"/>
                <w:sz w:val="17"/>
                <w:szCs w:val="17"/>
              </w:rPr>
              <w:t xml:space="preserve">Maturidade por Tipo de IA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8"/>
                <w:szCs w:val="18"/>
              </w:rPr>
              <w:t xml:space="preserve">2.44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2.6 (Setor TI)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🟡 Abaixo — plano ativo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F7A"/>
                <w:sz w:val="17"/>
                <w:szCs w:val="17"/>
              </w:rPr>
              <w:t xml:space="preserve">Valor de Negócio e ROI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2.53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3.0 (Líderes)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🟢 Médio — evolução contínua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F7A"/>
                <w:sz w:val="17"/>
                <w:szCs w:val="17"/>
              </w:rPr>
              <w:t xml:space="preserve">Ecossistema e Parcerias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2.58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3.0 (Líderes)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🟢 Médio — evolução contínua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F7A"/>
                <w:sz w:val="17"/>
                <w:szCs w:val="17"/>
              </w:rPr>
              <w:t xml:space="preserve">Pessoas e Cultura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2.71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3.0 (Líderes)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🟢 Médio — evolução contínua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F7A"/>
                <w:sz w:val="17"/>
                <w:szCs w:val="17"/>
              </w:rPr>
              <w:t xml:space="preserve">Prontidão para Mudança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2.80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EDF2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3.0 (Líderes)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🟢 Médio — evolução contínua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8F7A"/>
                <w:sz w:val="17"/>
                <w:szCs w:val="17"/>
              </w:rPr>
              <w:t xml:space="preserve">Eficácia de IA (MIT CISR)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8"/>
                <w:szCs w:val="18"/>
              </w:rPr>
              <w:t xml:space="preserve">2.84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≥ 3.0 (Líderes)</w:t>
            </w:r>
          </w:p>
        </w:tc>
        <w:tc>
          <w:tcPr>
            <w:tcW w:type="dxa" w:w="3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🟢 Médio — evolução contínua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O que o diagnóstico revelou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0392B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 </w:t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DECEA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 "Empresa Teste Modelo" está posicionada no Estágio 2 (Oportunista) do MIT CISR — abaixo do benchmark de 2,8 para empresas de tecnologia e muito abaixo dos líderes setoriais (3,5+). Das 16 dimensões, 2 estão em nível crítico (abaixo de 2,0) e 11 estão abaixo de 2,5, indicando que a maioria das iniciativas de IA ainda é fragmentada, sem governança formal e sem geração de valor mensurável.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Custo estimado de permanecer no nível atual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Com base no McKinsey Global Institute (2023), empresas no Estágio 2 do MIT CISR deixam de capturar entre 15% e 40% do potencial de valor de IA em eficiência operacional. Para uma empresa de tecnologia com faturamento de R$100M, isso representa R$15M–R$40M em valor não realizado por ano. A falta de conformidade regulatória (Dimensão 11, score 1,58) representa exposição a multas LGPD de até 2% do faturamento — R$2M — a qualquer momento.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8A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MOMENTO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2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26"/>
                <w:szCs w:val="26"/>
              </w:rPr>
              <w:t xml:space="preserve">DURANTE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6"/>
                <w:szCs w:val="16"/>
              </w:rPr>
              <w:t xml:space="preserve">O plano — o que foi decidido e por quem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Modelo de execução: 5 responsáveis, 16 dimensões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O BluePrint gerou um plano de ação distribuído por responsabilidade. Cada responsável recebeu um documento individual com o diagnóstico completo das suas dimensões, as evidências críticas, os riscos de negócio e as ações específicas. A governança do plano é semanal.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5E8A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 </w:t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EF4FF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"CEO quer número" — Princípio de execução: cada responsável tem 3 números: onde está hoje (score atual), onde precisa chegar (meta de score com prazo) e o que vai fazer toda semana (métrica de processo semanal). Sem esses 3 números, a transformação não tem tração.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1A5E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 A</w:t>
            </w:r>
            <w:r>
              <w:rPr>
                <w:rFonts w:ascii="Arial" w:cs="Arial" w:eastAsia="Arial" w:hAnsi="Arial"/>
                <w:b w:val="false"/>
                <w:bCs w:val="false"/>
                <w:color w:val="E0F5F1"/>
                <w:sz w:val="17"/>
                <w:szCs w:val="17"/>
              </w:rPr>
              <w:t xml:space="preserve">  —  Conformidade Regulatória (1.58) · Governança e Risco (2.02)</w:t>
            </w:r>
          </w:p>
        </w:tc>
      </w:tr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Ações comprometidas: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Implementar DPIA obrigatório para 100% dos novos projetos com dados pessoais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AI Risk Register com todos os modelos em produção classificados por risco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Formalizar Comitê de Ética com calendário fixo e poder de veto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Iniciar processo de certificação ISO 42001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política formal de uso aceitável de IA publicada para toda a empresa</w:t>
            </w:r>
          </w:p>
          <w:p>
            <w:pPr>
              <w:spacing w:after="0" w:before="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Prazo: </w:t>
            </w: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90 dias</w:t>
            </w: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Meta: </w:t>
            </w: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Score Conformidade: 1.58 → 2.40  ·  Score Governança: 2.02 → 2.60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1A5E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 B</w:t>
            </w:r>
            <w:r>
              <w:rPr>
                <w:rFonts w:ascii="Arial" w:cs="Arial" w:eastAsia="Arial" w:hAnsi="Arial"/>
                <w:b w:val="false"/>
                <w:bCs w:val="false"/>
                <w:color w:val="E0F5F1"/>
                <w:sz w:val="17"/>
                <w:szCs w:val="17"/>
              </w:rPr>
              <w:t xml:space="preserve">  —  Operações (1.98) · Plataforma (2.14) · Dados (2.16) · IA Receita (2.37) · Maturidade IA (2.44) · Inovação (2.44) · Eficácia (2.84)</w:t>
            </w:r>
          </w:p>
        </w:tc>
      </w:tr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Ações comprometidas: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Implementar CI/CD dedicado para modelos de ML com testes de qualidade e rollback automático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plataforma centralizada de IA com catálogo de modelos e self-service para data scientists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Expandir IA Generativa para ao menos 5 casos de uso em produção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Feature Store com reuso de features entre projetos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Implementar monitoramento automático de drift e SLAs formais para modelos críticos</w:t>
            </w:r>
          </w:p>
          <w:p>
            <w:pPr>
              <w:spacing w:after="0" w:before="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Prazo: </w:t>
            </w: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120 dias</w:t>
            </w: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Meta: </w:t>
            </w: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Score médio das 7 dimensões: 2.34 → 2.80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1A5E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 C</w:t>
            </w:r>
            <w:r>
              <w:rPr>
                <w:rFonts w:ascii="Arial" w:cs="Arial" w:eastAsia="Arial" w:hAnsi="Arial"/>
                <w:b w:val="false"/>
                <w:bCs w:val="false"/>
                <w:color w:val="E0F5F1"/>
                <w:sz w:val="17"/>
                <w:szCs w:val="17"/>
              </w:rPr>
              <w:t xml:space="preserve">  —  Estratégia (2.21) · Valor de Negócio e ROI (2.53) · Prontidão para Mudança (2.80) · Valor por Unidade (2.07)</w:t>
            </w:r>
          </w:p>
        </w:tc>
      </w:tr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Ações comprometidas: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Integrar a estratégia de IA ao planejamento estratégico corporativo com OKRs por área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metodologia padrão de ROI de IA e dashboard de valor consolidado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roadmap de 24 meses com benchmarking externo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Mapear formalmente o potencial de valor de IA por unidade de negócio</w:t>
            </w:r>
          </w:p>
          <w:p>
            <w:pPr>
              <w:spacing w:after="0" w:before="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Prazo: </w:t>
            </w: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90 dias</w:t>
            </w: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Meta: </w:t>
            </w: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Score médio das 4 dimensões: 2.40 → 2.90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1A5E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 D</w:t>
            </w:r>
            <w:r>
              <w:rPr>
                <w:rFonts w:ascii="Arial" w:cs="Arial" w:eastAsia="Arial" w:hAnsi="Arial"/>
                <w:b w:val="false"/>
                <w:bCs w:val="false"/>
                <w:color w:val="E0F5F1"/>
                <w:sz w:val="17"/>
                <w:szCs w:val="17"/>
              </w:rPr>
              <w:t xml:space="preserve">  —  Pessoas e Cultura (2.71) · Talentos e Capacidades (2.10)</w:t>
            </w:r>
          </w:p>
        </w:tc>
      </w:tr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Ações comprometidas: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programa estruturado de capacitação em IA com trilhas por nível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Realizar análise de gap de talentos baseada no SFIA com plano de 18 meses para endereçar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Formalizar rede de AI Champions com representação em todas as áreas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planos de carreira formais para profissionais de IA com trilhas de senioridade</w:t>
            </w:r>
          </w:p>
          <w:p>
            <w:pPr>
              <w:spacing w:after="0" w:before="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Prazo: </w:t>
            </w: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90 dias</w:t>
            </w: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Meta: </w:t>
            </w: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Score Talentos: 2.10 → 2.60  ·  Score Pessoas: 2.71 → 3.00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1A5E8A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Responsável E</w:t>
            </w:r>
            <w:r>
              <w:rPr>
                <w:rFonts w:ascii="Arial" w:cs="Arial" w:eastAsia="Arial" w:hAnsi="Arial"/>
                <w:b w:val="false"/>
                <w:bCs w:val="false"/>
                <w:color w:val="E0F5F1"/>
                <w:sz w:val="17"/>
                <w:szCs w:val="17"/>
              </w:rPr>
              <w:t xml:space="preserve">  —  Ecossistema e Parcerias (2.58)</w:t>
            </w:r>
          </w:p>
        </w:tc>
      </w:tr>
      <w:tr>
        <w:tc>
          <w:tcPr>
            <w:tcW w:type="dxa" w:w="9360"/>
            <w:tcBorders>
              <w:top w:val="single" w:color="1A5E8A" w:sz="1"/>
              <w:left w:val="single" w:color="1A5E8A" w:sz="1"/>
              <w:bottom w:val="single" w:color="1A5E8A" w:sz="1"/>
              <w:right w:val="single" w:color="1A5E8A" w:sz="1"/>
            </w:tcBorders>
            <w:shd w:fill="EEF4FF" w:val="clear"/>
            <w:tcMar>
              <w:top w:type="dxa" w:w="80"/>
              <w:left w:type="dxa" w:w="140"/>
              <w:bottom w:type="dxa" w:w="80"/>
              <w:right w:type="dxa" w:w="120"/>
            </w:tcMar>
          </w:tcPr>
          <w:p>
            <w:pPr>
              <w:spacing w:after="3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Ações comprometidas: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Documentar estratégia formal de Make vs. Buy vs. Partner para capacidades de 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Formalizar parcerias com ao menos 3 fornecedores estratégicos com SLAs e gestão formal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Criar biblioteca de integrações padronizadas para os serviços mais usados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Participar de ao menos 1 consortium setorial de IA</w:t>
            </w:r>
          </w:p>
          <w:p>
            <w:pPr>
              <w:spacing w:after="0" w:before="40"/>
            </w:pPr>
            <w:r>
              <w:rPr>
                <w:sz w:val="2"/>
                <w:szCs w:val="2"/>
              </w:rPr>
              <w:t xml:space="preserve"/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Prazo: </w:t>
            </w: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90 dias</w:t>
            </w: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   |   </w:t>
            </w: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Meta: </w:t>
            </w: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Score Ecossistema: 2.58 → 3.00</w:t>
            </w:r>
          </w:p>
        </w:tc>
      </w:tr>
    </w:tbl>
    <w:p>
      <w:pPr>
        <w:spacing w:after="0" w:before="60"/>
      </w:pPr>
      <w:r>
        <w:rPr>
          <w:sz w:val="2"/>
          <w:szCs w:val="2"/>
        </w:rPr>
        <w:t xml:space="preserve"/>
      </w:r>
    </w:p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Governança do plano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880"/>
        <w:gridCol w:w="3880"/>
      </w:tblGrid>
      <w:tr>
        <w:trPr>
          <w:tblHeader/>
        </w:trPr>
        <w:tc>
          <w:tcPr>
            <w:tcW w:type="dxa" w:w="1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5E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Cadência</w:t>
            </w:r>
          </w:p>
        </w:tc>
        <w:tc>
          <w:tcPr>
            <w:tcW w:type="dxa" w:w="38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5E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Participantes</w:t>
            </w:r>
          </w:p>
        </w:tc>
        <w:tc>
          <w:tcPr>
            <w:tcW w:type="dxa" w:w="388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A5E8A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Pauta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Semanal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Responsável de cada dimensão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Check de 15 min: o que foi feito, o que trava, o que precisa de apoio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Quinzenal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Todos os 5 responsáveis + Coordenador do Programa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Revisão de progresso cross-dimensão e desbloqueio de dependências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Mensal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Direção + Responsáveis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Dashboard de score parcial e ajuste de prioridades</w:t>
            </w:r>
          </w:p>
        </w:tc>
      </w:tr>
      <w:tr>
        <w:tc>
          <w:tcPr>
            <w:tcW w:type="dxa" w:w="1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EF4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A5E8A"/>
                <w:sz w:val="17"/>
                <w:szCs w:val="17"/>
              </w:rPr>
              <w:t xml:space="preserve">90/120 dias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Todos os avaliadores originais</w:t>
            </w:r>
          </w:p>
        </w:tc>
        <w:tc>
          <w:tcPr>
            <w:tcW w:type="dxa" w:w="3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Segunda aplicação do BluePrint: nova medição das 16 dimensões</w:t>
            </w:r>
          </w:p>
        </w:tc>
      </w:tr>
    </w:tbl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tcW w:type="dxa" w:w="1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100"/>
              <w:left w:type="dxa" w:w="100"/>
              <w:bottom w:type="dxa" w:w="10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3"/>
                <w:szCs w:val="13"/>
              </w:rPr>
              <w:t xml:space="preserve">MOMENTO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8"/>
                <w:szCs w:val="48"/>
              </w:rPr>
              <w:t xml:space="preserve">3</w:t>
            </w:r>
          </w:p>
        </w:tc>
        <w:tc>
          <w:tcPr>
            <w:tcW w:type="dxa" w:w="7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5F5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pPr>
              <w:spacing w:after="2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26"/>
                <w:szCs w:val="26"/>
              </w:rPr>
              <w:t xml:space="preserve">DEPOIS</w:t>
            </w:r>
          </w:p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6"/>
                <w:szCs w:val="16"/>
              </w:rPr>
              <w:t xml:space="preserve">Os resultados — o que mudou após a execução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8449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 </w:t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AF3DE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Este momento será preenchido após a segunda medição do BluePrint, prevista para 90–120 dias após o início do plano de ação. As colunas em cinza são os campos a completar. A estrutura já está pronta para receber os dados.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Resultado das 16 Dimensões — Comparativo Antes vs. Depois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800"/>
        <w:gridCol w:w="800"/>
        <w:gridCol w:w="3760"/>
      </w:tblGrid>
      <w:tr>
        <w:trPr>
          <w:tblHeader/>
        </w:trPr>
        <w:tc>
          <w:tcPr>
            <w:tcW w:type="dxa" w:w="32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Dimensão</w:t>
            </w:r>
          </w:p>
        </w:tc>
        <w:tc>
          <w:tcPr>
            <w:tcW w:type="dxa" w:w="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Antes</w:t>
            </w:r>
          </w:p>
        </w:tc>
        <w:tc>
          <w:tcPr>
            <w:tcW w:type="dxa" w:w="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Score Depois</w:t>
            </w:r>
          </w:p>
        </w:tc>
        <w:tc>
          <w:tcPr>
            <w:tcW w:type="dxa" w:w="8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Delta</w:t>
            </w:r>
          </w:p>
        </w:tc>
        <w:tc>
          <w:tcPr>
            <w:tcW w:type="dxa" w:w="37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Impacto Observado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Conformidade Regulatória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1.58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Operações e Processos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DECEA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7"/>
                <w:szCs w:val="17"/>
              </w:rPr>
              <w:t xml:space="preserve">1.98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Governança e Risco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2.02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Valor por Unidade de Negócio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2.07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Talentos e Capacidades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2.10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Plataforma e Industrialização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2.14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Dados e Tecnologia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2.16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Estratégia e Liderança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2.21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IA como Gerador de Receita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2.37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Inovação e Experimentação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2.44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Maturidade por Tipo de IA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8EC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5A623"/>
                <w:sz w:val="17"/>
                <w:szCs w:val="17"/>
              </w:rPr>
              <w:t xml:space="preserve">2.44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Valor de Negócio e ROI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2.53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Ecossistema e Parcerias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2.58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Pessoas e Cultura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2.71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Prontidão para Mudança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2.80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  <w:tr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Eficácia de IA (MIT CISR)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0F5F1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8F7A"/>
                <w:sz w:val="17"/>
                <w:szCs w:val="17"/>
              </w:rPr>
              <w:t xml:space="preserve">2.84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7"/>
                <w:szCs w:val="17"/>
              </w:rPr>
              <w:t xml:space="preserve">___</w:t>
            </w:r>
          </w:p>
        </w:tc>
        <w:tc>
          <w:tcPr>
            <w:tcW w:type="dxa" w:w="3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00"/>
              <w:bottom w:type="dxa" w:w="7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 após a segunda medição]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Impacto nos 3 vetores de valor MIT CISR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60"/>
        <w:gridCol w:w="2960"/>
        <w:gridCol w:w="2840"/>
      </w:tblGrid>
      <w:tr>
        <w:trPr>
          <w:tblHeader/>
        </w:trPr>
        <w:tc>
          <w:tcPr>
            <w:tcW w:type="dxa" w:w="60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/>
            </w:r>
          </w:p>
        </w:tc>
        <w:tc>
          <w:tcPr>
            <w:tcW w:type="dxa" w:w="2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Vetor de Valor</w:t>
            </w:r>
          </w:p>
        </w:tc>
        <w:tc>
          <w:tcPr>
            <w:tcW w:type="dxa" w:w="296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Métrica esperada</w:t>
            </w:r>
          </w:p>
        </w:tc>
        <w:tc>
          <w:tcPr>
            <w:tcW w:type="dxa" w:w="2840"/>
            <w:tcBorders>
              <w:top w:val="single" w:color="334455" w:sz="1"/>
              <w:left w:val="single" w:color="334455" w:sz="1"/>
              <w:bottom w:val="single" w:color="334455" w:sz="1"/>
              <w:right w:val="single" w:color="334455" w:sz="1"/>
            </w:tcBorders>
            <w:shd w:fill="1E8449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Resultado real (a preencher)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🔧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Lente Operações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Redução de 15%+ no tempo de ciclo dos processos com IA implantada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👥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Lente Experiência do Cliente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Melhoria de NPS/CSAT em áreas onde IA foi implementada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preencher]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🤝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/>
                <w:bCs/>
                <w:color w:val="1E8449"/>
                <w:sz w:val="17"/>
                <w:szCs w:val="17"/>
              </w:rPr>
              <w:t xml:space="preserve">Lente Ecossistema</w:t>
            </w:r>
          </w:p>
        </w:tc>
        <w:tc>
          <w:tcPr>
            <w:tcW w:type="dxa" w:w="2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7"/>
                <w:szCs w:val="17"/>
              </w:rPr>
              <w:t xml:space="preserve">Ao menos 2 parcerias estratégicas de IA formalizadas e gerenciadas</w:t>
            </w:r>
          </w:p>
        </w:tc>
        <w:tc>
          <w:tcPr>
            <w:tcW w:type="dxa" w:w="284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3DE" w:val="clear"/>
            <w:tcMar>
              <w:top w:type="dxa" w:w="80"/>
              <w:left w:type="dxa" w:w="100"/>
              <w:bottom w:type="dxa" w:w="80"/>
              <w:right w:type="dxa" w:w="8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6"/>
                <w:szCs w:val="16"/>
              </w:rPr>
              <w:t xml:space="preserve">[A preencher]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pStyle w:val="Heading2"/>
        <w:spacing w:after="80" w:before="200"/>
      </w:pPr>
      <w:r>
        <w:rPr>
          <w:rFonts w:ascii="Arial" w:cs="Arial" w:eastAsia="Arial" w:hAnsi="Arial"/>
        </w:rPr>
        <w:t xml:space="preserve">Score Geral — Evolução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FDECE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16"/>
                <w:szCs w:val="16"/>
              </w:rPr>
              <w:t xml:space="preserve">ANTES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C0392B"/>
                <w:sz w:val="48"/>
                <w:szCs w:val="48"/>
              </w:rPr>
              <w:t xml:space="preserve">2,31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Score Geral Inicial</w:t>
            </w:r>
          </w:p>
        </w:tc>
        <w:tc>
          <w:tcPr>
            <w:tcW w:type="dxa" w:w="31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16"/>
                <w:szCs w:val="16"/>
              </w:rPr>
              <w:t xml:space="preserve">META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0C2A8"/>
                <w:sz w:val="48"/>
                <w:szCs w:val="48"/>
              </w:rPr>
              <w:t xml:space="preserve">2,80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Score Alvo em 120 dias</w:t>
            </w:r>
          </w:p>
        </w:tc>
        <w:tc>
          <w:tcPr>
            <w:tcW w:type="dxa" w:w="3120"/>
            <w:tcBorders>
              <w:top w:val="single" w:color="1E8449" w:sz="1"/>
              <w:left w:val="single" w:color="1E8449" w:sz="1"/>
              <w:bottom w:val="single" w:color="1E8449" w:sz="1"/>
              <w:right w:val="single" w:color="1E8449" w:sz="1"/>
            </w:tcBorders>
            <w:shd w:fill="EAF3DE" w:val="clear"/>
            <w:tcMar>
              <w:top w:type="dxa" w:w="120"/>
              <w:left w:type="dxa" w:w="100"/>
              <w:bottom w:type="dxa" w:w="120"/>
              <w:right w:type="dxa" w:w="80"/>
            </w:tcMar>
          </w:tcPr>
          <w:p>
            <w:pPr>
              <w:spacing w:after="8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1E8449"/>
                <w:sz w:val="16"/>
                <w:szCs w:val="16"/>
              </w:rPr>
              <w:t xml:space="preserve">DEPOIS</w:t>
            </w:r>
          </w:p>
          <w:p>
            <w:pPr>
              <w:spacing w:after="4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7A8FA6"/>
                <w:sz w:val="48"/>
                <w:szCs w:val="48"/>
              </w:rPr>
              <w:t xml:space="preserve">___</w:t>
            </w:r>
          </w:p>
          <w:p>
            <w:pPr>
              <w:spacing w:after="10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7A8FA6"/>
                <w:sz w:val="15"/>
                <w:szCs w:val="15"/>
              </w:rPr>
              <w:t xml:space="preserve">A preencher na segunda medição</w:t>
            </w:r>
          </w:p>
        </w:tc>
      </w:tr>
    </w:tbl>
    <w:p>
      <w:pPr>
        <w:spacing w:after="0" w:before="120"/>
      </w:pPr>
      <w:r>
        <w:rPr>
          <w:sz w:val="2"/>
          <w:szCs w:val="2"/>
        </w:rPr>
        <w:t xml:space="preserve"/>
      </w:r>
    </w:p>
    <w:p>
      <w:r>
        <w:br w:type="page"/>
      </w:r>
    </w:p>
    <w:p>
      <w:pPr>
        <w:pStyle w:val="Heading1"/>
        <w:spacing w:after="120" w:before="280"/>
      </w:pPr>
      <w:r>
        <w:rPr>
          <w:rFonts w:ascii="Arial" w:cs="Arial" w:eastAsia="Arial" w:hAnsi="Arial"/>
        </w:rPr>
        <w:t xml:space="preserve">O que este documento comprova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O BluePrint de Maturidade IA não é apenas um questionário. É um sistema completo que vai do diagnóstico à execução, com responsabilidade individual por dimensão e governança de acompanhamento semanal. O Momento 1 prova que o diagnóstico é rigoroso e honesto — inclusive a empresa que desenvolveu a metodologia aplicou em si mesma e expôs seus próprios gaps. O Momento 2 prova que o diagnóstico gera plano concreto, não apenas relatório. O Momento 3, quando preenchido, provar o mais importante: que executar o plano move o score e gera valor mensurável de negócio.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"/>
        <w:gridCol w:w="9200"/>
      </w:tblGrid>
      <w:tr>
        <w:tc>
          <w:tcPr>
            <w:tcW w:type="dxa" w:w="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08F7A" w:val="clear"/>
            <w:tcMar>
              <w:top w:type="dxa" w:w="80"/>
              <w:left w:type="dxa" w:w="60"/>
              <w:bottom w:type="dxa" w:w="80"/>
              <w:right w:type="dxa" w:w="4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20"/>
                <w:szCs w:val="20"/>
              </w:rPr>
              <w:t xml:space="preserve"> </w:t>
            </w:r>
          </w:p>
        </w:tc>
        <w:tc>
          <w:tcPr>
            <w:tcW w:type="dxa" w:w="9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0F5F1" w:val="clear"/>
            <w:tcMar>
              <w:top w:type="dxa" w:w="100"/>
              <w:left w:type="dxa" w:w="140"/>
              <w:bottom w:type="dxa" w:w="100"/>
              <w:right w:type="dxa" w:w="120"/>
            </w:tcMar>
          </w:tcPr>
          <w:p>
            <w:pPr>
              <w:spacing w:after="10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D1B2A"/>
                <w:sz w:val="18"/>
                <w:szCs w:val="18"/>
              </w:rPr>
              <w:t xml:space="preserve">A maior prova de que uma metodologia funciona não é o que ela promete — é o que a empresa que a criou está disposta a fazer com ela em si mesma. Este documento é essa prova.</w:t>
            </w:r>
          </w:p>
        </w:tc>
      </w:tr>
    </w:tbl>
    <w:p>
      <w:pPr>
        <w:spacing w:after="0" w:before="80"/>
      </w:pPr>
      <w:r>
        <w:rPr>
          <w:sz w:val="2"/>
          <w:szCs w:val="2"/>
        </w:rPr>
        <w:t xml:space="preserve"/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Data da primeira medição (Momento 1): </w:t>
      </w: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Junho de 2026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Data prevista da segunda medição (Momento 3): </w:t>
      </w: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Setembro / Outubro de 2026</w:t>
      </w:r>
    </w:p>
    <w:p>
      <w:pPr>
        <w:spacing w:after="30" w:before="0"/>
        <w:jc w:val="left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Metodologia de base: </w:t>
      </w: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MIT CISR Enterprise AI Maturity Model — Weill, Woerner &amp; Sebastian (2024)</w:t>
      </w:r>
    </w:p>
    <w:p>
      <w:pPr>
        <w:spacing w:after="100" w:before="0"/>
        <w:jc w:val="left"/>
      </w:pPr>
      <w:r>
        <w:rPr>
          <w:rFonts w:ascii="Arial" w:cs="Arial" w:eastAsia="Arial" w:hAnsi="Arial"/>
          <w:b/>
          <w:bCs/>
          <w:color w:val="0D1B2A"/>
          <w:sz w:val="20"/>
          <w:szCs w:val="20"/>
        </w:rPr>
        <w:t xml:space="preserve">Empresa aplicante: </w:t>
      </w:r>
      <w:r>
        <w:rPr>
          <w:rFonts w:ascii="Arial" w:cs="Arial" w:eastAsia="Arial" w:hAnsi="Arial"/>
          <w:b w:val="false"/>
          <w:bCs w:val="false"/>
          <w:color w:val="0D1B2A"/>
          <w:sz w:val="20"/>
          <w:szCs w:val="20"/>
        </w:rPr>
        <w:t xml:space="preserve">"Empresa Teste Modelo"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0D1B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008F7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2026-06-15T20:34:16.110Z</dcterms:created>
  <dcterms:modified xsi:type="dcterms:W3CDTF">2026-06-15T20:34:16.133Z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