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520" w:val="clear"/>
            <w:tcMar>
              <w:top w:type="dxa" w:w="600"/>
              <w:left w:type="dxa" w:w="500"/>
              <w:bottom w:type="dxa" w:w="600"/>
              <w:right w:type="dxa" w:w="500"/>
            </w:tcMar>
          </w:tcPr>
          <w:p>
            <w:pPr>
              <w:spacing w:after="60" w:before="0"/>
              <w:jc w:val="left"/>
            </w:pPr>
            <w:r>
              <w:rPr>
                <w:rFonts w:ascii="Arial" w:cs="Arial" w:eastAsia="Arial" w:hAnsi="Arial"/>
                <w:b w:val="false"/>
                <w:bCs w:val="false"/>
                <w:color w:val="00C2A8"/>
                <w:sz w:val="16"/>
                <w:szCs w:val="16"/>
              </w:rPr>
              <w:t xml:space="preserve">Blueprint de Maturidade IA</w:t>
            </w:r>
          </w:p>
          <w:p>
            <w:pPr>
              <w:spacing w:after="60" w:before="0"/>
              <w:jc w:val="left"/>
            </w:pPr>
            <w:r>
              <w:rPr>
                <w:rFonts w:ascii="Arial" w:cs="Arial" w:eastAsia="Arial" w:hAnsi="Arial"/>
                <w:b/>
                <w:bCs/>
                <w:color w:val="FFFFFF"/>
                <w:sz w:val="42"/>
                <w:szCs w:val="42"/>
              </w:rPr>
              <w:t xml:space="preserve">Fundamentação Científica e Metodológica</w:t>
            </w:r>
          </w:p>
          <w:p>
            <w:pPr>
              <w:spacing w:after="240" w:before="0"/>
              <w:jc w:val="left"/>
            </w:pPr>
            <w:r>
              <w:rPr>
                <w:rFonts w:ascii="Arial" w:cs="Arial" w:eastAsia="Arial" w:hAnsi="Arial"/>
                <w:b/>
                <w:bCs/>
                <w:color w:val="008F7A"/>
                <w:sz w:val="24"/>
                <w:szCs w:val="24"/>
              </w:rPr>
              <w:t xml:space="preserve">As 16 Dimensões — Origem, Framework, Critérios e Objetivo</w:t>
            </w:r>
          </w:p>
          <w:p>
            <w:pPr>
              <w:spacing w:after="20" w:before="0"/>
              <w:jc w:val="left"/>
            </w:pPr>
            <w:r>
              <w:rPr>
                <w:rFonts w:ascii="Arial" w:cs="Arial" w:eastAsia="Arial" w:hAnsi="Arial"/>
                <w:b w:val="false"/>
                <w:bCs w:val="false"/>
                <w:color w:val="7A8FA6"/>
                <w:sz w:val="17"/>
                <w:szCs w:val="17"/>
              </w:rPr>
              <w:t xml:space="preserve">Este documento detalha para cada uma das 16 dimensões do Blueprint de Maturidade IA:</w:t>
            </w:r>
          </w:p>
          <w:p>
            <w:pPr>
              <w:spacing w:after="200" w:before="0"/>
              <w:jc w:val="left"/>
            </w:pPr>
            <w:r>
              <w:rPr>
                <w:rFonts w:ascii="Arial" w:cs="Arial" w:eastAsia="Arial" w:hAnsi="Arial"/>
                <w:b w:val="false"/>
                <w:bCs w:val="false"/>
                <w:color w:val="7A8FA6"/>
                <w:sz w:val="16"/>
                <w:szCs w:val="16"/>
              </w:rPr>
              <w:t xml:space="preserve">(1) o framework acadêmico de origem  ·  (2) a conexão com os estágios MIT CISR  ·  (3) os critérios avaliados  ·  (4) o que a dimensão revela sobre a organização</w:t>
            </w:r>
          </w:p>
          <w:p>
            <w:pPr>
              <w:spacing w:after="100" w:before="0"/>
              <w:jc w:val="left"/>
            </w:pPr>
            <w:r>
              <w:rPr>
                <w:rFonts w:ascii="Arial" w:cs="Arial" w:eastAsia="Arial" w:hAnsi="Arial"/>
                <w:b w:val="false"/>
                <w:bCs w:val="false"/>
                <w:color w:val="4A5A6A"/>
                <w:sz w:val="14"/>
                <w:szCs w:val="14"/>
              </w:rPr>
              <w:t xml:space="preserve">Fundamentado em: MIT CISR (Weill, Woerner &amp; Sebastian, 2024)  ·  NIST AI RMF (2023)  ·  SFIA Foundation (2021)  ·  McKinsey Global Institute (2023)  ·  ADKAR/Prosci (2018)  ·  Gartner (2023–2024)</w:t>
            </w:r>
          </w:p>
          <w:p>
            <w:pPr>
              <w:spacing w:after="0" w:before="60"/>
            </w:pPr>
            <w:r>
              <w:rPr>
                <w:sz w:val="2"/>
                <w:szCs w:val="2"/>
              </w:rPr>
              <w:t xml:space="preserve"/>
            </w:r>
          </w:p>
          <w:p>
            <w:pPr>
              <w:spacing w:after="100" w:before="0"/>
              <w:jc w:val="left"/>
            </w:pPr>
            <w:r>
              <w:rPr>
                <w:rFonts w:ascii="Arial" w:cs="Arial" w:eastAsia="Arial" w:hAnsi="Arial"/>
                <w:b w:val="false"/>
                <w:bCs w:val="false"/>
                <w:color w:val="7A8FA6"/>
                <w:sz w:val="13"/>
                <w:szCs w:val="13"/>
              </w:rPr>
              <w:t xml:space="preserve">Junho 2026  ·  Confidencial</w:t>
            </w:r>
          </w:p>
        </w:tc>
      </w:tr>
    </w:tbl>
    <w:p>
      <w:r>
        <w:br w:type="page"/>
      </w:r>
    </w:p>
    <w:p>
      <w:pPr>
        <w:pStyle w:val="Heading1"/>
        <w:spacing w:after="120" w:before="0"/>
      </w:pPr>
      <w:r>
        <w:rPr>
          <w:rFonts w:ascii="Arial" w:cs="Arial" w:eastAsia="Arial" w:hAnsi="Arial"/>
        </w:rPr>
        <w:t xml:space="preserve">Fundamentos do Modelo</w:t>
      </w:r>
    </w:p>
    <w:p>
      <w:pPr>
        <w:spacing w:after="120" w:before="0"/>
        <w:jc w:val="left"/>
      </w:pPr>
      <w:r>
        <w:rPr>
          <w:rFonts w:ascii="Arial" w:cs="Arial" w:eastAsia="Arial" w:hAnsi="Arial"/>
          <w:b w:val="false"/>
          <w:bCs w:val="false"/>
          <w:color w:val="0D1B2A"/>
          <w:sz w:val="20"/>
          <w:szCs w:val="20"/>
        </w:rPr>
        <w:t xml:space="preserve">O Blueprint de Maturidade IA é construído sobre o MIT CISR Enterprise AI Maturity Model (Weill, Woerner &amp; Sebastian, 2024) como espinha dorsal. O MIT CISR classifica organizações em 5 estágios de progressão. Para as áreas onde o modelo MIT CISR reconhece suas próprias limitações — especialmente cultura, talentos e gestão de mudanças — o Blueprint incorpora frameworks complementares: SFIA, NIST AI RMF e ADKAR/Prosci.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5480"/>
        <w:gridCol w:w="1200"/>
      </w:tblGrid>
      <w:tr>
        <w:trPr>
          <w:tblHeader/>
        </w:trPr>
        <w:tc>
          <w:tcPr>
            <w:tcW w:type="dxa" w:w="480"/>
            <w:tcBorders>
              <w:top w:val="single" w:color="334455" w:sz="1"/>
              <w:left w:val="single" w:color="334455" w:sz="1"/>
              <w:bottom w:val="single" w:color="334455" w:sz="1"/>
              <w:right w:val="single" w:color="334455" w:sz="1"/>
            </w:tcBorders>
            <w:shd w:fill="0D1B2A" w:val="clear"/>
            <w:tcMar>
              <w:top w:type="dxa" w:w="80"/>
              <w:left w:type="dxa" w:w="80"/>
              <w:bottom w:type="dxa" w:w="80"/>
              <w:right w:type="dxa" w:w="60"/>
            </w:tcMar>
          </w:tcPr>
          <w:p>
            <w:pPr>
              <w:spacing w:after="100" w:before="0"/>
              <w:jc w:val="center"/>
            </w:pPr>
            <w:r>
              <w:rPr>
                <w:rFonts w:ascii="Arial" w:cs="Arial" w:eastAsia="Arial" w:hAnsi="Arial"/>
                <w:b/>
                <w:bCs/>
                <w:color w:val="FFFFFF"/>
                <w:sz w:val="17"/>
                <w:szCs w:val="17"/>
              </w:rPr>
              <w:t xml:space="preserve">Est.</w:t>
            </w:r>
          </w:p>
        </w:tc>
        <w:tc>
          <w:tcPr>
            <w:tcW w:type="dxa" w:w="2200"/>
            <w:tcBorders>
              <w:top w:val="single" w:color="334455" w:sz="1"/>
              <w:left w:val="single" w:color="334455" w:sz="1"/>
              <w:bottom w:val="single" w:color="334455" w:sz="1"/>
              <w:right w:val="single" w:color="334455" w:sz="1"/>
            </w:tcBorders>
            <w:shd w:fill="0D1B2A" w:val="clear"/>
            <w:tcMar>
              <w:top w:type="dxa" w:w="80"/>
              <w:left w:type="dxa" w:w="100"/>
              <w:bottom w:type="dxa" w:w="80"/>
              <w:right w:type="dxa" w:w="80"/>
            </w:tcMar>
          </w:tcPr>
          <w:p>
            <w:pPr>
              <w:spacing w:after="100" w:before="0"/>
              <w:jc w:val="left"/>
            </w:pPr>
            <w:r>
              <w:rPr>
                <w:rFonts w:ascii="Arial" w:cs="Arial" w:eastAsia="Arial" w:hAnsi="Arial"/>
                <w:b/>
                <w:bCs/>
                <w:color w:val="FFFFFF"/>
                <w:sz w:val="17"/>
                <w:szCs w:val="17"/>
              </w:rPr>
              <w:t xml:space="preserve">Nome</w:t>
            </w:r>
          </w:p>
        </w:tc>
        <w:tc>
          <w:tcPr>
            <w:tcW w:type="dxa" w:w="5480"/>
            <w:tcBorders>
              <w:top w:val="single" w:color="334455" w:sz="1"/>
              <w:left w:val="single" w:color="334455" w:sz="1"/>
              <w:bottom w:val="single" w:color="334455" w:sz="1"/>
              <w:right w:val="single" w:color="334455" w:sz="1"/>
            </w:tcBorders>
            <w:shd w:fill="0D1B2A" w:val="clear"/>
            <w:tcMar>
              <w:top w:type="dxa" w:w="80"/>
              <w:left w:type="dxa" w:w="100"/>
              <w:bottom w:type="dxa" w:w="80"/>
              <w:right w:type="dxa" w:w="80"/>
            </w:tcMar>
          </w:tcPr>
          <w:p>
            <w:pPr>
              <w:spacing w:after="100" w:before="0"/>
              <w:jc w:val="left"/>
            </w:pPr>
            <w:r>
              <w:rPr>
                <w:rFonts w:ascii="Arial" w:cs="Arial" w:eastAsia="Arial" w:hAnsi="Arial"/>
                <w:b/>
                <w:bCs/>
                <w:color w:val="FFFFFF"/>
                <w:sz w:val="17"/>
                <w:szCs w:val="17"/>
              </w:rPr>
              <w:t xml:space="preserve">Características principais</w:t>
            </w:r>
          </w:p>
        </w:tc>
        <w:tc>
          <w:tcPr>
            <w:tcW w:type="dxa" w:w="1200"/>
            <w:tcBorders>
              <w:top w:val="single" w:color="334455" w:sz="1"/>
              <w:left w:val="single" w:color="334455" w:sz="1"/>
              <w:bottom w:val="single" w:color="334455" w:sz="1"/>
              <w:right w:val="single" w:color="334455" w:sz="1"/>
            </w:tcBorders>
            <w:shd w:fill="0D1B2A" w:val="clear"/>
            <w:tcMar>
              <w:top w:type="dxa" w:w="80"/>
              <w:left w:type="dxa" w:w="80"/>
              <w:bottom w:type="dxa" w:w="80"/>
              <w:right w:type="dxa" w:w="80"/>
            </w:tcMar>
          </w:tcPr>
          <w:p>
            <w:pPr>
              <w:spacing w:after="100" w:before="0"/>
              <w:jc w:val="center"/>
            </w:pPr>
            <w:r>
              <w:rPr>
                <w:rFonts w:ascii="Arial" w:cs="Arial" w:eastAsia="Arial" w:hAnsi="Arial"/>
                <w:b/>
                <w:bCs/>
                <w:color w:val="FFFFFF"/>
                <w:sz w:val="16"/>
                <w:szCs w:val="16"/>
              </w:rPr>
              <w:t xml:space="preserve">% empresas</w:t>
            </w:r>
          </w:p>
        </w:tc>
      </w:tr>
      <w:tr>
        <w:tc>
          <w:tcPr>
            <w:tcW w:type="dxa" w:w="480"/>
            <w:tcBorders>
              <w:top w:val="single" w:color="E0E0E0" w:sz="1"/>
              <w:left w:val="single" w:color="E0E0E0" w:sz="1"/>
              <w:bottom w:val="single" w:color="E0E0E0" w:sz="1"/>
              <w:right w:val="single" w:color="E0E0E0" w:sz="1"/>
            </w:tcBorders>
            <w:shd w:fill="0D1B2A" w:val="clear"/>
            <w:tcMar>
              <w:top w:type="dxa" w:w="70"/>
              <w:left w:type="dxa" w:w="80"/>
              <w:bottom w:type="dxa" w:w="70"/>
              <w:right w:type="dxa" w:w="60"/>
            </w:tcMar>
          </w:tcPr>
          <w:p>
            <w:pPr>
              <w:spacing w:after="100" w:before="0"/>
              <w:jc w:val="center"/>
            </w:pPr>
            <w:r>
              <w:rPr>
                <w:rFonts w:ascii="Arial" w:cs="Arial" w:eastAsia="Arial" w:hAnsi="Arial"/>
                <w:b/>
                <w:bCs/>
                <w:color w:val="008F7A"/>
                <w:sz w:val="20"/>
                <w:szCs w:val="20"/>
              </w:rPr>
              <w:t xml:space="preserve">1</w:t>
            </w:r>
          </w:p>
        </w:tc>
        <w:tc>
          <w:tcPr>
            <w:tcW w:type="dxa" w:w="2200"/>
            <w:tcBorders>
              <w:top w:val="single" w:color="E0E0E0" w:sz="1"/>
              <w:left w:val="single" w:color="E0E0E0" w:sz="1"/>
              <w:bottom w:val="single" w:color="E0E0E0" w:sz="1"/>
              <w:right w:val="single" w:color="E0E0E0" w:sz="1"/>
            </w:tcBorders>
            <w:shd w:fill="E0F5F1" w:val="clear"/>
            <w:tcMar>
              <w:top w:type="dxa" w:w="70"/>
              <w:left w:type="dxa" w:w="100"/>
              <w:bottom w:type="dxa" w:w="70"/>
              <w:right w:type="dxa" w:w="80"/>
            </w:tcMar>
          </w:tcPr>
          <w:p>
            <w:pPr>
              <w:spacing w:after="100" w:before="0"/>
              <w:jc w:val="left"/>
            </w:pPr>
            <w:r>
              <w:rPr>
                <w:rFonts w:ascii="Arial" w:cs="Arial" w:eastAsia="Arial" w:hAnsi="Arial"/>
                <w:b/>
                <w:bCs/>
                <w:color w:val="008F7A"/>
                <w:sz w:val="17"/>
                <w:szCs w:val="17"/>
              </w:rPr>
              <w:t xml:space="preserve">Inicial</w:t>
            </w:r>
          </w:p>
        </w:tc>
        <w:tc>
          <w:tcPr>
            <w:tcW w:type="dxa" w:w="5480"/>
            <w:tcBorders>
              <w:top w:val="single" w:color="E0E0E0" w:sz="1"/>
              <w:left w:val="single" w:color="E0E0E0" w:sz="1"/>
              <w:bottom w:val="single" w:color="E0E0E0" w:sz="1"/>
              <w:right w:val="single" w:color="E0E0E0" w:sz="1"/>
            </w:tcBorders>
            <w:shd w:fill="E0F5F1" w:val="clear"/>
            <w:tcMar>
              <w:top w:type="dxa" w:w="70"/>
              <w:left w:type="dxa" w:w="100"/>
              <w:bottom w:type="dxa" w:w="70"/>
              <w:right w:type="dxa" w:w="80"/>
            </w:tcMar>
          </w:tcPr>
          <w:p>
            <w:pPr>
              <w:spacing w:after="100" w:before="0"/>
              <w:jc w:val="left"/>
            </w:pPr>
            <w:r>
              <w:rPr>
                <w:rFonts w:ascii="Arial" w:cs="Arial" w:eastAsia="Arial" w:hAnsi="Arial"/>
                <w:b w:val="false"/>
                <w:bCs w:val="false"/>
                <w:color w:val="0D1B2A"/>
                <w:sz w:val="17"/>
                <w:szCs w:val="17"/>
              </w:rPr>
              <w:t xml:space="preserve">Experimentos isolados, dependência de entusiastas, sem estratégia formal</w:t>
            </w:r>
          </w:p>
        </w:tc>
        <w:tc>
          <w:tcPr>
            <w:tcW w:type="dxa" w:w="1200"/>
            <w:tcBorders>
              <w:top w:val="single" w:color="E0E0E0" w:sz="1"/>
              <w:left w:val="single" w:color="E0E0E0" w:sz="1"/>
              <w:bottom w:val="single" w:color="E0E0E0" w:sz="1"/>
              <w:right w:val="single" w:color="E0E0E0" w:sz="1"/>
            </w:tcBorders>
            <w:shd w:fill="E0F5F1" w:val="clear"/>
            <w:tcMar>
              <w:top w:type="dxa" w:w="70"/>
              <w:left w:type="dxa" w:w="80"/>
              <w:bottom w:type="dxa" w:w="70"/>
              <w:right w:type="dxa" w:w="80"/>
            </w:tcMar>
          </w:tcPr>
          <w:p>
            <w:pPr>
              <w:spacing w:after="100" w:before="0"/>
              <w:jc w:val="center"/>
            </w:pPr>
            <w:r>
              <w:rPr>
                <w:rFonts w:ascii="Arial" w:cs="Arial" w:eastAsia="Arial" w:hAnsi="Arial"/>
                <w:b/>
                <w:bCs/>
                <w:color w:val="008F7A"/>
                <w:sz w:val="17"/>
                <w:szCs w:val="17"/>
              </w:rPr>
              <w:t xml:space="preserve">35%</w:t>
            </w:r>
          </w:p>
        </w:tc>
      </w:tr>
      <w:tr>
        <w:tc>
          <w:tcPr>
            <w:tcW w:type="dxa" w:w="480"/>
            <w:tcBorders>
              <w:top w:val="single" w:color="E0E0E0" w:sz="1"/>
              <w:left w:val="single" w:color="E0E0E0" w:sz="1"/>
              <w:bottom w:val="single" w:color="E0E0E0" w:sz="1"/>
              <w:right w:val="single" w:color="E0E0E0" w:sz="1"/>
            </w:tcBorders>
            <w:shd w:fill="0D1B2A" w:val="clear"/>
            <w:tcMar>
              <w:top w:type="dxa" w:w="70"/>
              <w:left w:type="dxa" w:w="80"/>
              <w:bottom w:type="dxa" w:w="70"/>
              <w:right w:type="dxa" w:w="60"/>
            </w:tcMar>
          </w:tcPr>
          <w:p>
            <w:pPr>
              <w:spacing w:after="100" w:before="0"/>
              <w:jc w:val="center"/>
            </w:pPr>
            <w:r>
              <w:rPr>
                <w:rFonts w:ascii="Arial" w:cs="Arial" w:eastAsia="Arial" w:hAnsi="Arial"/>
                <w:b/>
                <w:bCs/>
                <w:color w:val="008F7A"/>
                <w:sz w:val="20"/>
                <w:szCs w:val="20"/>
              </w:rPr>
              <w:t xml:space="preserve">2</w:t>
            </w:r>
          </w:p>
        </w:tc>
        <w:tc>
          <w:tcPr>
            <w:tcW w:type="dxa" w:w="2200"/>
            <w:tcBorders>
              <w:top w:val="single" w:color="E0E0E0" w:sz="1"/>
              <w:left w:val="single" w:color="E0E0E0" w:sz="1"/>
              <w:bottom w:val="single" w:color="E0E0E0" w:sz="1"/>
              <w:right w:val="single" w:color="E0E0E0" w:sz="1"/>
            </w:tcBorders>
            <w:shd w:fill="FFFFFF" w:val="clear"/>
            <w:tcMar>
              <w:top w:type="dxa" w:w="70"/>
              <w:left w:type="dxa" w:w="100"/>
              <w:bottom w:type="dxa" w:w="70"/>
              <w:right w:type="dxa" w:w="80"/>
            </w:tcMar>
          </w:tcPr>
          <w:p>
            <w:pPr>
              <w:spacing w:after="100" w:before="0"/>
              <w:jc w:val="left"/>
            </w:pPr>
            <w:r>
              <w:rPr>
                <w:rFonts w:ascii="Arial" w:cs="Arial" w:eastAsia="Arial" w:hAnsi="Arial"/>
                <w:b/>
                <w:bCs/>
                <w:color w:val="008F7A"/>
                <w:sz w:val="17"/>
                <w:szCs w:val="17"/>
              </w:rPr>
              <w:t xml:space="preserve">Oportunista</w:t>
            </w:r>
          </w:p>
        </w:tc>
        <w:tc>
          <w:tcPr>
            <w:tcW w:type="dxa" w:w="5480"/>
            <w:tcBorders>
              <w:top w:val="single" w:color="E0E0E0" w:sz="1"/>
              <w:left w:val="single" w:color="E0E0E0" w:sz="1"/>
              <w:bottom w:val="single" w:color="E0E0E0" w:sz="1"/>
              <w:right w:val="single" w:color="E0E0E0" w:sz="1"/>
            </w:tcBorders>
            <w:shd w:fill="FFFFFF" w:val="clear"/>
            <w:tcMar>
              <w:top w:type="dxa" w:w="70"/>
              <w:left w:type="dxa" w:w="100"/>
              <w:bottom w:type="dxa" w:w="70"/>
              <w:right w:type="dxa" w:w="80"/>
            </w:tcMar>
          </w:tcPr>
          <w:p>
            <w:pPr>
              <w:spacing w:after="100" w:before="0"/>
              <w:jc w:val="left"/>
            </w:pPr>
            <w:r>
              <w:rPr>
                <w:rFonts w:ascii="Arial" w:cs="Arial" w:eastAsia="Arial" w:hAnsi="Arial"/>
                <w:b w:val="false"/>
                <w:bCs w:val="false"/>
                <w:color w:val="0D1B2A"/>
                <w:sz w:val="17"/>
                <w:szCs w:val="17"/>
              </w:rPr>
              <w:t xml:space="preserve">Múltiplos projetos, ROI não mensurado, governança emergente</w:t>
            </w:r>
          </w:p>
        </w:tc>
        <w:tc>
          <w:tcPr>
            <w:tcW w:type="dxa" w:w="1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80"/>
            </w:tcMar>
          </w:tcPr>
          <w:p>
            <w:pPr>
              <w:spacing w:after="100" w:before="0"/>
              <w:jc w:val="center"/>
            </w:pPr>
            <w:r>
              <w:rPr>
                <w:rFonts w:ascii="Arial" w:cs="Arial" w:eastAsia="Arial" w:hAnsi="Arial"/>
                <w:b/>
                <w:bCs/>
                <w:color w:val="008F7A"/>
                <w:sz w:val="17"/>
                <w:szCs w:val="17"/>
              </w:rPr>
              <w:t xml:space="preserve">30%</w:t>
            </w:r>
          </w:p>
        </w:tc>
      </w:tr>
      <w:tr>
        <w:tc>
          <w:tcPr>
            <w:tcW w:type="dxa" w:w="480"/>
            <w:tcBorders>
              <w:top w:val="single" w:color="E0E0E0" w:sz="1"/>
              <w:left w:val="single" w:color="E0E0E0" w:sz="1"/>
              <w:bottom w:val="single" w:color="E0E0E0" w:sz="1"/>
              <w:right w:val="single" w:color="E0E0E0" w:sz="1"/>
            </w:tcBorders>
            <w:shd w:fill="0D1B2A" w:val="clear"/>
            <w:tcMar>
              <w:top w:type="dxa" w:w="70"/>
              <w:left w:type="dxa" w:w="80"/>
              <w:bottom w:type="dxa" w:w="70"/>
              <w:right w:type="dxa" w:w="60"/>
            </w:tcMar>
          </w:tcPr>
          <w:p>
            <w:pPr>
              <w:spacing w:after="100" w:before="0"/>
              <w:jc w:val="center"/>
            </w:pPr>
            <w:r>
              <w:rPr>
                <w:rFonts w:ascii="Arial" w:cs="Arial" w:eastAsia="Arial" w:hAnsi="Arial"/>
                <w:b/>
                <w:bCs/>
                <w:color w:val="008F7A"/>
                <w:sz w:val="20"/>
                <w:szCs w:val="20"/>
              </w:rPr>
              <w:t xml:space="preserve">3</w:t>
            </w:r>
          </w:p>
        </w:tc>
        <w:tc>
          <w:tcPr>
            <w:tcW w:type="dxa" w:w="2200"/>
            <w:tcBorders>
              <w:top w:val="single" w:color="E0E0E0" w:sz="1"/>
              <w:left w:val="single" w:color="E0E0E0" w:sz="1"/>
              <w:bottom w:val="single" w:color="E0E0E0" w:sz="1"/>
              <w:right w:val="single" w:color="E0E0E0" w:sz="1"/>
            </w:tcBorders>
            <w:shd w:fill="E0F5F1" w:val="clear"/>
            <w:tcMar>
              <w:top w:type="dxa" w:w="70"/>
              <w:left w:type="dxa" w:w="100"/>
              <w:bottom w:type="dxa" w:w="70"/>
              <w:right w:type="dxa" w:w="80"/>
            </w:tcMar>
          </w:tcPr>
          <w:p>
            <w:pPr>
              <w:spacing w:after="100" w:before="0"/>
              <w:jc w:val="left"/>
            </w:pPr>
            <w:r>
              <w:rPr>
                <w:rFonts w:ascii="Arial" w:cs="Arial" w:eastAsia="Arial" w:hAnsi="Arial"/>
                <w:b/>
                <w:bCs/>
                <w:color w:val="008F7A"/>
                <w:sz w:val="17"/>
                <w:szCs w:val="17"/>
              </w:rPr>
              <w:t xml:space="preserve">Estruturado</w:t>
            </w:r>
          </w:p>
        </w:tc>
        <w:tc>
          <w:tcPr>
            <w:tcW w:type="dxa" w:w="5480"/>
            <w:tcBorders>
              <w:top w:val="single" w:color="E0E0E0" w:sz="1"/>
              <w:left w:val="single" w:color="E0E0E0" w:sz="1"/>
              <w:bottom w:val="single" w:color="E0E0E0" w:sz="1"/>
              <w:right w:val="single" w:color="E0E0E0" w:sz="1"/>
            </w:tcBorders>
            <w:shd w:fill="E0F5F1" w:val="clear"/>
            <w:tcMar>
              <w:top w:type="dxa" w:w="70"/>
              <w:left w:type="dxa" w:w="100"/>
              <w:bottom w:type="dxa" w:w="70"/>
              <w:right w:type="dxa" w:w="80"/>
            </w:tcMar>
          </w:tcPr>
          <w:p>
            <w:pPr>
              <w:spacing w:after="100" w:before="0"/>
              <w:jc w:val="left"/>
            </w:pPr>
            <w:r>
              <w:rPr>
                <w:rFonts w:ascii="Arial" w:cs="Arial" w:eastAsia="Arial" w:hAnsi="Arial"/>
                <w:b w:val="false"/>
                <w:bCs w:val="false"/>
                <w:color w:val="0D1B2A"/>
                <w:sz w:val="17"/>
                <w:szCs w:val="17"/>
              </w:rPr>
              <w:t xml:space="preserve">Estratégia documentada, MLOps básico, talentos distribuídos</w:t>
            </w:r>
          </w:p>
        </w:tc>
        <w:tc>
          <w:tcPr>
            <w:tcW w:type="dxa" w:w="1200"/>
            <w:tcBorders>
              <w:top w:val="single" w:color="E0E0E0" w:sz="1"/>
              <w:left w:val="single" w:color="E0E0E0" w:sz="1"/>
              <w:bottom w:val="single" w:color="E0E0E0" w:sz="1"/>
              <w:right w:val="single" w:color="E0E0E0" w:sz="1"/>
            </w:tcBorders>
            <w:shd w:fill="E0F5F1" w:val="clear"/>
            <w:tcMar>
              <w:top w:type="dxa" w:w="70"/>
              <w:left w:type="dxa" w:w="80"/>
              <w:bottom w:type="dxa" w:w="70"/>
              <w:right w:type="dxa" w:w="80"/>
            </w:tcMar>
          </w:tcPr>
          <w:p>
            <w:pPr>
              <w:spacing w:after="100" w:before="0"/>
              <w:jc w:val="center"/>
            </w:pPr>
            <w:r>
              <w:rPr>
                <w:rFonts w:ascii="Arial" w:cs="Arial" w:eastAsia="Arial" w:hAnsi="Arial"/>
                <w:b/>
                <w:bCs/>
                <w:color w:val="008F7A"/>
                <w:sz w:val="17"/>
                <w:szCs w:val="17"/>
              </w:rPr>
              <w:t xml:space="preserve">20%</w:t>
            </w:r>
          </w:p>
        </w:tc>
      </w:tr>
      <w:tr>
        <w:tc>
          <w:tcPr>
            <w:tcW w:type="dxa" w:w="480"/>
            <w:tcBorders>
              <w:top w:val="single" w:color="E0E0E0" w:sz="1"/>
              <w:left w:val="single" w:color="E0E0E0" w:sz="1"/>
              <w:bottom w:val="single" w:color="E0E0E0" w:sz="1"/>
              <w:right w:val="single" w:color="E0E0E0" w:sz="1"/>
            </w:tcBorders>
            <w:shd w:fill="0D1B2A" w:val="clear"/>
            <w:tcMar>
              <w:top w:type="dxa" w:w="70"/>
              <w:left w:type="dxa" w:w="80"/>
              <w:bottom w:type="dxa" w:w="70"/>
              <w:right w:type="dxa" w:w="60"/>
            </w:tcMar>
          </w:tcPr>
          <w:p>
            <w:pPr>
              <w:spacing w:after="100" w:before="0"/>
              <w:jc w:val="center"/>
            </w:pPr>
            <w:r>
              <w:rPr>
                <w:rFonts w:ascii="Arial" w:cs="Arial" w:eastAsia="Arial" w:hAnsi="Arial"/>
                <w:b/>
                <w:bCs/>
                <w:color w:val="008F7A"/>
                <w:sz w:val="20"/>
                <w:szCs w:val="20"/>
              </w:rPr>
              <w:t xml:space="preserve">4</w:t>
            </w:r>
          </w:p>
        </w:tc>
        <w:tc>
          <w:tcPr>
            <w:tcW w:type="dxa" w:w="2200"/>
            <w:tcBorders>
              <w:top w:val="single" w:color="E0E0E0" w:sz="1"/>
              <w:left w:val="single" w:color="E0E0E0" w:sz="1"/>
              <w:bottom w:val="single" w:color="E0E0E0" w:sz="1"/>
              <w:right w:val="single" w:color="E0E0E0" w:sz="1"/>
            </w:tcBorders>
            <w:shd w:fill="FFFFFF" w:val="clear"/>
            <w:tcMar>
              <w:top w:type="dxa" w:w="70"/>
              <w:left w:type="dxa" w:w="100"/>
              <w:bottom w:type="dxa" w:w="70"/>
              <w:right w:type="dxa" w:w="80"/>
            </w:tcMar>
          </w:tcPr>
          <w:p>
            <w:pPr>
              <w:spacing w:after="100" w:before="0"/>
              <w:jc w:val="left"/>
            </w:pPr>
            <w:r>
              <w:rPr>
                <w:rFonts w:ascii="Arial" w:cs="Arial" w:eastAsia="Arial" w:hAnsi="Arial"/>
                <w:b/>
                <w:bCs/>
                <w:color w:val="008F7A"/>
                <w:sz w:val="17"/>
                <w:szCs w:val="17"/>
              </w:rPr>
              <w:t xml:space="preserve">Gerenciado</w:t>
            </w:r>
          </w:p>
        </w:tc>
        <w:tc>
          <w:tcPr>
            <w:tcW w:type="dxa" w:w="5480"/>
            <w:tcBorders>
              <w:top w:val="single" w:color="E0E0E0" w:sz="1"/>
              <w:left w:val="single" w:color="E0E0E0" w:sz="1"/>
              <w:bottom w:val="single" w:color="E0E0E0" w:sz="1"/>
              <w:right w:val="single" w:color="E0E0E0" w:sz="1"/>
            </w:tcBorders>
            <w:shd w:fill="FFFFFF" w:val="clear"/>
            <w:tcMar>
              <w:top w:type="dxa" w:w="70"/>
              <w:left w:type="dxa" w:w="100"/>
              <w:bottom w:type="dxa" w:w="70"/>
              <w:right w:type="dxa" w:w="80"/>
            </w:tcMar>
          </w:tcPr>
          <w:p>
            <w:pPr>
              <w:spacing w:after="100" w:before="0"/>
              <w:jc w:val="left"/>
            </w:pPr>
            <w:r>
              <w:rPr>
                <w:rFonts w:ascii="Arial" w:cs="Arial" w:eastAsia="Arial" w:hAnsi="Arial"/>
                <w:b w:val="false"/>
                <w:bCs w:val="false"/>
                <w:color w:val="0D1B2A"/>
                <w:sz w:val="17"/>
                <w:szCs w:val="17"/>
              </w:rPr>
              <w:t xml:space="preserve">IA integrada ao core, cultura de dados disseminada, parcerias estratégicas</w:t>
            </w:r>
          </w:p>
        </w:tc>
        <w:tc>
          <w:tcPr>
            <w:tcW w:type="dxa" w:w="1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80"/>
            </w:tcMar>
          </w:tcPr>
          <w:p>
            <w:pPr>
              <w:spacing w:after="100" w:before="0"/>
              <w:jc w:val="center"/>
            </w:pPr>
            <w:r>
              <w:rPr>
                <w:rFonts w:ascii="Arial" w:cs="Arial" w:eastAsia="Arial" w:hAnsi="Arial"/>
                <w:b/>
                <w:bCs/>
                <w:color w:val="008F7A"/>
                <w:sz w:val="17"/>
                <w:szCs w:val="17"/>
              </w:rPr>
              <w:t xml:space="preserve">11%</w:t>
            </w:r>
          </w:p>
        </w:tc>
      </w:tr>
      <w:tr>
        <w:tc>
          <w:tcPr>
            <w:tcW w:type="dxa" w:w="480"/>
            <w:tcBorders>
              <w:top w:val="single" w:color="E0E0E0" w:sz="1"/>
              <w:left w:val="single" w:color="E0E0E0" w:sz="1"/>
              <w:bottom w:val="single" w:color="E0E0E0" w:sz="1"/>
              <w:right w:val="single" w:color="E0E0E0" w:sz="1"/>
            </w:tcBorders>
            <w:shd w:fill="0D1B2A" w:val="clear"/>
            <w:tcMar>
              <w:top w:type="dxa" w:w="70"/>
              <w:left w:type="dxa" w:w="80"/>
              <w:bottom w:type="dxa" w:w="70"/>
              <w:right w:type="dxa" w:w="60"/>
            </w:tcMar>
          </w:tcPr>
          <w:p>
            <w:pPr>
              <w:spacing w:after="100" w:before="0"/>
              <w:jc w:val="center"/>
            </w:pPr>
            <w:r>
              <w:rPr>
                <w:rFonts w:ascii="Arial" w:cs="Arial" w:eastAsia="Arial" w:hAnsi="Arial"/>
                <w:b/>
                <w:bCs/>
                <w:color w:val="008F7A"/>
                <w:sz w:val="20"/>
                <w:szCs w:val="20"/>
              </w:rPr>
              <w:t xml:space="preserve">5</w:t>
            </w:r>
          </w:p>
        </w:tc>
        <w:tc>
          <w:tcPr>
            <w:tcW w:type="dxa" w:w="2200"/>
            <w:tcBorders>
              <w:top w:val="single" w:color="E0E0E0" w:sz="1"/>
              <w:left w:val="single" w:color="E0E0E0" w:sz="1"/>
              <w:bottom w:val="single" w:color="E0E0E0" w:sz="1"/>
              <w:right w:val="single" w:color="E0E0E0" w:sz="1"/>
            </w:tcBorders>
            <w:shd w:fill="E0F5F1" w:val="clear"/>
            <w:tcMar>
              <w:top w:type="dxa" w:w="70"/>
              <w:left w:type="dxa" w:w="100"/>
              <w:bottom w:type="dxa" w:w="70"/>
              <w:right w:type="dxa" w:w="80"/>
            </w:tcMar>
          </w:tcPr>
          <w:p>
            <w:pPr>
              <w:spacing w:after="100" w:before="0"/>
              <w:jc w:val="left"/>
            </w:pPr>
            <w:r>
              <w:rPr>
                <w:rFonts w:ascii="Arial" w:cs="Arial" w:eastAsia="Arial" w:hAnsi="Arial"/>
                <w:b/>
                <w:bCs/>
                <w:color w:val="008F7A"/>
                <w:sz w:val="17"/>
                <w:szCs w:val="17"/>
              </w:rPr>
              <w:t xml:space="preserve">Otimizado</w:t>
            </w:r>
          </w:p>
        </w:tc>
        <w:tc>
          <w:tcPr>
            <w:tcW w:type="dxa" w:w="5480"/>
            <w:tcBorders>
              <w:top w:val="single" w:color="E0E0E0" w:sz="1"/>
              <w:left w:val="single" w:color="E0E0E0" w:sz="1"/>
              <w:bottom w:val="single" w:color="E0E0E0" w:sz="1"/>
              <w:right w:val="single" w:color="E0E0E0" w:sz="1"/>
            </w:tcBorders>
            <w:shd w:fill="E0F5F1" w:val="clear"/>
            <w:tcMar>
              <w:top w:type="dxa" w:w="70"/>
              <w:left w:type="dxa" w:w="100"/>
              <w:bottom w:type="dxa" w:w="70"/>
              <w:right w:type="dxa" w:w="80"/>
            </w:tcMar>
          </w:tcPr>
          <w:p>
            <w:pPr>
              <w:spacing w:after="100" w:before="0"/>
              <w:jc w:val="left"/>
            </w:pPr>
            <w:r>
              <w:rPr>
                <w:rFonts w:ascii="Arial" w:cs="Arial" w:eastAsia="Arial" w:hAnsi="Arial"/>
                <w:b w:val="false"/>
                <w:bCs w:val="false"/>
                <w:color w:val="0D1B2A"/>
                <w:sz w:val="17"/>
                <w:szCs w:val="17"/>
              </w:rPr>
              <w:t xml:space="preserve">IA como diferencial competitivo, cultura de experimentação pervasiva</w:t>
            </w:r>
          </w:p>
        </w:tc>
        <w:tc>
          <w:tcPr>
            <w:tcW w:type="dxa" w:w="1200"/>
            <w:tcBorders>
              <w:top w:val="single" w:color="E0E0E0" w:sz="1"/>
              <w:left w:val="single" w:color="E0E0E0" w:sz="1"/>
              <w:bottom w:val="single" w:color="E0E0E0" w:sz="1"/>
              <w:right w:val="single" w:color="E0E0E0" w:sz="1"/>
            </w:tcBorders>
            <w:shd w:fill="E0F5F1" w:val="clear"/>
            <w:tcMar>
              <w:top w:type="dxa" w:w="70"/>
              <w:left w:type="dxa" w:w="80"/>
              <w:bottom w:type="dxa" w:w="70"/>
              <w:right w:type="dxa" w:w="80"/>
            </w:tcMar>
          </w:tcPr>
          <w:p>
            <w:pPr>
              <w:spacing w:after="100" w:before="0"/>
              <w:jc w:val="center"/>
            </w:pPr>
            <w:r>
              <w:rPr>
                <w:rFonts w:ascii="Arial" w:cs="Arial" w:eastAsia="Arial" w:hAnsi="Arial"/>
                <w:b/>
                <w:bCs/>
                <w:color w:val="008F7A"/>
                <w:sz w:val="17"/>
                <w:szCs w:val="17"/>
              </w:rPr>
              <w:t xml:space="preserve">4%</w:t>
            </w:r>
          </w:p>
        </w:tc>
      </w:tr>
    </w:tbl>
    <w:p>
      <w:pPr>
        <w:spacing w:after="0" w:before="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008F7A" w:val="clear"/>
            <w:tcMar>
              <w:top w:type="dxa" w:w="80"/>
              <w:left w:type="dxa" w:w="60"/>
              <w:bottom w:type="dxa" w:w="80"/>
              <w:right w:type="dxa" w:w="40"/>
            </w:tcMar>
          </w:tcPr>
          <w:p>
            <w:pPr>
              <w:spacing w:after="100" w:before="0"/>
              <w:jc w:val="left"/>
            </w:pPr>
            <w:r>
              <w:rPr>
                <w:rFonts w:ascii="Arial" w:cs="Arial" w:eastAsia="Arial" w:hAnsi="Arial"/>
                <w:b w:val="false"/>
                <w:bCs w:val="false"/>
                <w:color w:val="0D1B2A"/>
                <w:sz w:val="20"/>
                <w:szCs w:val="20"/>
              </w:rPr>
              <w:t xml:space="preserve"> </w:t>
            </w:r>
          </w:p>
        </w:tc>
        <w:tc>
          <w:tcPr>
            <w:tcW w:type="dxa" w:w="9220"/>
            <w:tcBorders>
              <w:top w:val="none" w:color="FFFFFF" w:sz="0"/>
              <w:left w:val="none" w:color="FFFFFF" w:sz="0"/>
              <w:bottom w:val="none" w:color="FFFFFF" w:sz="0"/>
              <w:right w:val="none" w:color="FFFFFF" w:sz="0"/>
            </w:tcBorders>
            <w:shd w:fill="E0F5F1" w:val="clear"/>
            <w:tcMar>
              <w:top w:type="dxa" w:w="100"/>
              <w:left w:type="dxa" w:w="140"/>
              <w:bottom w:type="dxa" w:w="100"/>
              <w:right w:type="dxa" w:w="120"/>
            </w:tcMar>
          </w:tcPr>
          <w:p>
            <w:pPr>
              <w:spacing w:after="100" w:before="0"/>
              <w:jc w:val="left"/>
            </w:pPr>
            <w:r>
              <w:rPr>
                <w:rFonts w:ascii="Arial" w:cs="Arial" w:eastAsia="Arial" w:hAnsi="Arial"/>
                <w:b w:val="false"/>
                <w:bCs w:val="false"/>
                <w:color w:val="0D1B2A"/>
                <w:sz w:val="18"/>
                <w:szCs w:val="18"/>
              </w:rPr>
              <w:t xml:space="preserve">Nota metodológica: O MIT CISR reconhece explicitamente que seu modelo tem 'pouca ênfase em cultura e mudança'. O Blueprint endereça esta lacuna incorporando o SFIA para dimensões de pessoas e talentos (D4 e D10), o NIST AI RMF para governança e conformidade (D3 e D11) e o ADKAR/Prosci para prontidão para mudança (D12). As dimensões 13–16 são extensões do próprio MIT CISR, adicionadas com base nas pesquisas de 2023–2024 sobre plataforma, monetização, tipos de IA e eficácia.</w:t>
            </w:r>
          </w:p>
        </w:tc>
      </w:tr>
    </w:tbl>
    <w:p>
      <w:r>
        <w:br w:type="page"/>
      </w:r>
    </w:p>
    <w:p>
      <w:pPr>
        <w:pStyle w:val="Heading1"/>
        <w:spacing w:after="120" w:before="0"/>
      </w:pPr>
      <w:r>
        <w:rPr>
          <w:rFonts w:ascii="Arial" w:cs="Arial" w:eastAsia="Arial" w:hAnsi="Arial"/>
        </w:rPr>
        <w:t xml:space="preserve">Mapa dos Frameworks por Dimensão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2000"/>
        <w:gridCol w:w="3680"/>
      </w:tblGrid>
      <w:tr>
        <w:trPr>
          <w:tblHeader/>
        </w:trPr>
        <w:tc>
          <w:tcPr>
            <w:tcW w:type="dxa" w:w="480"/>
            <w:tcBorders>
              <w:top w:val="single" w:color="334455" w:sz="1"/>
              <w:left w:val="single" w:color="334455" w:sz="1"/>
              <w:bottom w:val="single" w:color="334455" w:sz="1"/>
              <w:right w:val="single" w:color="334455" w:sz="1"/>
            </w:tcBorders>
            <w:shd w:fill="0D1B2A" w:val="clear"/>
            <w:tcMar>
              <w:top w:type="dxa" w:w="80"/>
              <w:left w:type="dxa" w:w="60"/>
              <w:bottom w:type="dxa" w:w="80"/>
              <w:right w:type="dxa" w:w="60"/>
            </w:tcMar>
          </w:tcPr>
          <w:p>
            <w:pPr>
              <w:spacing w:after="100" w:before="0"/>
              <w:jc w:val="center"/>
            </w:pPr>
            <w:r>
              <w:rPr>
                <w:rFonts w:ascii="Arial" w:cs="Arial" w:eastAsia="Arial" w:hAnsi="Arial"/>
                <w:b/>
                <w:bCs/>
                <w:color w:val="FFFFFF"/>
                <w:sz w:val="17"/>
                <w:szCs w:val="17"/>
              </w:rPr>
              <w:t xml:space="preserve">#</w:t>
            </w:r>
          </w:p>
        </w:tc>
        <w:tc>
          <w:tcPr>
            <w:tcW w:type="dxa" w:w="3200"/>
            <w:tcBorders>
              <w:top w:val="single" w:color="334455" w:sz="1"/>
              <w:left w:val="single" w:color="334455" w:sz="1"/>
              <w:bottom w:val="single" w:color="334455" w:sz="1"/>
              <w:right w:val="single" w:color="334455" w:sz="1"/>
            </w:tcBorders>
            <w:shd w:fill="0D1B2A" w:val="clear"/>
            <w:tcMar>
              <w:top w:type="dxa" w:w="80"/>
              <w:left w:type="dxa" w:w="100"/>
              <w:bottom w:type="dxa" w:w="80"/>
              <w:right w:type="dxa" w:w="80"/>
            </w:tcMar>
          </w:tcPr>
          <w:p>
            <w:pPr>
              <w:spacing w:after="100" w:before="0"/>
              <w:jc w:val="left"/>
            </w:pPr>
            <w:r>
              <w:rPr>
                <w:rFonts w:ascii="Arial" w:cs="Arial" w:eastAsia="Arial" w:hAnsi="Arial"/>
                <w:b/>
                <w:bCs/>
                <w:color w:val="FFFFFF"/>
                <w:sz w:val="17"/>
                <w:szCs w:val="17"/>
              </w:rPr>
              <w:t xml:space="preserve">Dimensão</w:t>
            </w:r>
          </w:p>
        </w:tc>
        <w:tc>
          <w:tcPr>
            <w:tcW w:type="dxa" w:w="2000"/>
            <w:tcBorders>
              <w:top w:val="single" w:color="334455" w:sz="1"/>
              <w:left w:val="single" w:color="334455" w:sz="1"/>
              <w:bottom w:val="single" w:color="334455" w:sz="1"/>
              <w:right w:val="single" w:color="334455" w:sz="1"/>
            </w:tcBorders>
            <w:shd w:fill="0D1B2A" w:val="clear"/>
            <w:tcMar>
              <w:top w:type="dxa" w:w="80"/>
              <w:left w:type="dxa" w:w="80"/>
              <w:bottom w:type="dxa" w:w="80"/>
              <w:right w:type="dxa" w:w="80"/>
            </w:tcMar>
          </w:tcPr>
          <w:p>
            <w:pPr>
              <w:spacing w:after="100" w:before="0"/>
              <w:jc w:val="center"/>
            </w:pPr>
            <w:r>
              <w:rPr>
                <w:rFonts w:ascii="Arial" w:cs="Arial" w:eastAsia="Arial" w:hAnsi="Arial"/>
                <w:b/>
                <w:bCs/>
                <w:color w:val="FFFFFF"/>
                <w:sz w:val="17"/>
                <w:szCs w:val="17"/>
              </w:rPr>
              <w:t xml:space="preserve">Framework base</w:t>
            </w:r>
          </w:p>
        </w:tc>
        <w:tc>
          <w:tcPr>
            <w:tcW w:type="dxa" w:w="3680"/>
            <w:tcBorders>
              <w:top w:val="single" w:color="334455" w:sz="1"/>
              <w:left w:val="single" w:color="334455" w:sz="1"/>
              <w:bottom w:val="single" w:color="334455" w:sz="1"/>
              <w:right w:val="single" w:color="334455" w:sz="1"/>
            </w:tcBorders>
            <w:shd w:fill="0D1B2A" w:val="clear"/>
            <w:tcMar>
              <w:top w:type="dxa" w:w="80"/>
              <w:left w:type="dxa" w:w="100"/>
              <w:bottom w:type="dxa" w:w="80"/>
              <w:right w:type="dxa" w:w="80"/>
            </w:tcMar>
          </w:tcPr>
          <w:p>
            <w:pPr>
              <w:spacing w:after="100" w:before="0"/>
              <w:jc w:val="left"/>
            </w:pPr>
            <w:r>
              <w:rPr>
                <w:rFonts w:ascii="Arial" w:cs="Arial" w:eastAsia="Arial" w:hAnsi="Arial"/>
                <w:b/>
                <w:bCs/>
                <w:color w:val="FFFFFF"/>
                <w:sz w:val="17"/>
                <w:szCs w:val="17"/>
              </w:rPr>
              <w:t xml:space="preserve">Peso e foco</w:t>
            </w:r>
          </w:p>
        </w:tc>
      </w:tr>
      <w:tr>
        <w:tc>
          <w:tcPr>
            <w:tcW w:type="dxa" w:w="480"/>
            <w:tcBorders>
              <w:top w:val="single" w:color="E0E0E0" w:sz="1"/>
              <w:left w:val="single" w:color="E0E0E0" w:sz="1"/>
              <w:bottom w:val="single" w:color="E0E0E0" w:sz="1"/>
              <w:right w:val="single" w:color="E0E0E0" w:sz="1"/>
            </w:tcBorders>
            <w:shd w:fill="0D1B2A" w:val="clear"/>
            <w:tcMar>
              <w:top w:type="dxa" w:w="70"/>
              <w:left w:type="dxa" w:w="60"/>
              <w:bottom w:type="dxa" w:w="70"/>
              <w:right w:type="dxa" w:w="60"/>
            </w:tcMar>
          </w:tcPr>
          <w:p>
            <w:pPr>
              <w:spacing w:after="100" w:before="0"/>
              <w:jc w:val="center"/>
            </w:pPr>
            <w:r>
              <w:rPr>
                <w:rFonts w:ascii="Arial" w:cs="Arial" w:eastAsia="Arial" w:hAnsi="Arial"/>
                <w:b/>
                <w:bCs/>
                <w:color w:val="FFFFFF"/>
                <w:sz w:val="17"/>
                <w:szCs w:val="17"/>
              </w:rPr>
              <w:t xml:space="preserve">1</w:t>
            </w:r>
          </w:p>
        </w:tc>
        <w:tc>
          <w:tcPr>
            <w:tcW w:type="dxa" w:w="3200"/>
            <w:tcBorders>
              <w:top w:val="single" w:color="E0E0E0" w:sz="1"/>
              <w:left w:val="single" w:color="E0E0E0" w:sz="1"/>
              <w:bottom w:val="single" w:color="E0E0E0" w:sz="1"/>
              <w:right w:val="single" w:color="E0E0E0" w:sz="1"/>
            </w:tcBorders>
            <w:shd w:fill="F5F5F5" w:val="clear"/>
            <w:tcMar>
              <w:top w:type="dxa" w:w="70"/>
              <w:left w:type="dxa" w:w="100"/>
              <w:bottom w:type="dxa" w:w="70"/>
              <w:right w:type="dxa" w:w="80"/>
            </w:tcMar>
          </w:tcPr>
          <w:p>
            <w:pPr>
              <w:spacing w:after="100" w:before="0"/>
              <w:jc w:val="left"/>
            </w:pPr>
            <w:r>
              <w:rPr>
                <w:rFonts w:ascii="Arial" w:cs="Arial" w:eastAsia="Arial" w:hAnsi="Arial"/>
                <w:b/>
                <w:bCs/>
                <w:color w:val="0D1B2A"/>
                <w:sz w:val="17"/>
                <w:szCs w:val="17"/>
              </w:rPr>
              <w:t xml:space="preserve">Estratégia e Liderança</w:t>
            </w:r>
          </w:p>
        </w:tc>
        <w:tc>
          <w:tcPr>
            <w:tcW w:type="dxa" w:w="20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80"/>
            </w:tcMar>
          </w:tcPr>
          <w:p>
            <w:pPr>
              <w:spacing w:after="100" w:before="0"/>
              <w:jc w:val="center"/>
            </w:pPr>
            <w:r>
              <w:rPr>
                <w:rFonts w:ascii="Arial" w:cs="Arial" w:eastAsia="Arial" w:hAnsi="Arial"/>
                <w:b/>
                <w:bCs/>
                <w:color w:val="0D1B2A"/>
                <w:sz w:val="16"/>
                <w:szCs w:val="16"/>
              </w:rPr>
              <w:t xml:space="preserve">MIT CISR</w:t>
            </w:r>
          </w:p>
        </w:tc>
        <w:tc>
          <w:tcPr>
            <w:tcW w:type="dxa" w:w="3680"/>
            <w:tcBorders>
              <w:top w:val="single" w:color="E0E0E0" w:sz="1"/>
              <w:left w:val="single" w:color="E0E0E0" w:sz="1"/>
              <w:bottom w:val="single" w:color="E0E0E0" w:sz="1"/>
              <w:right w:val="single" w:color="E0E0E0" w:sz="1"/>
            </w:tcBorders>
            <w:shd w:fill="F5F5F5" w:val="clear"/>
            <w:tcMar>
              <w:top w:type="dxa" w:w="70"/>
              <w:left w:type="dxa" w:w="100"/>
              <w:bottom w:type="dxa" w:w="70"/>
              <w:right w:type="dxa" w:w="80"/>
            </w:tcMar>
          </w:tcPr>
          <w:p>
            <w:pPr>
              <w:spacing w:after="100" w:before="0"/>
              <w:jc w:val="left"/>
            </w:pPr>
            <w:r>
              <w:rPr>
                <w:rFonts w:ascii="Arial" w:cs="Arial" w:eastAsia="Arial" w:hAnsi="Arial"/>
                <w:b w:val="false"/>
                <w:bCs w:val="false"/>
                <w:color w:val="008F7A"/>
                <w:sz w:val="17"/>
                <w:szCs w:val="17"/>
              </w:rPr>
              <w:t xml:space="preserve">8%</w:t>
            </w:r>
          </w:p>
        </w:tc>
      </w:tr>
      <w:tr>
        <w:tc>
          <w:tcPr>
            <w:tcW w:type="dxa" w:w="480"/>
            <w:tcBorders>
              <w:top w:val="single" w:color="E0E0E0" w:sz="1"/>
              <w:left w:val="single" w:color="E0E0E0" w:sz="1"/>
              <w:bottom w:val="single" w:color="E0E0E0" w:sz="1"/>
              <w:right w:val="single" w:color="E0E0E0" w:sz="1"/>
            </w:tcBorders>
            <w:shd w:fill="1A5E8A" w:val="clear"/>
            <w:tcMar>
              <w:top w:type="dxa" w:w="70"/>
              <w:left w:type="dxa" w:w="60"/>
              <w:bottom w:type="dxa" w:w="70"/>
              <w:right w:type="dxa" w:w="60"/>
            </w:tcMar>
          </w:tcPr>
          <w:p>
            <w:pPr>
              <w:spacing w:after="100" w:before="0"/>
              <w:jc w:val="center"/>
            </w:pPr>
            <w:r>
              <w:rPr>
                <w:rFonts w:ascii="Arial" w:cs="Arial" w:eastAsia="Arial" w:hAnsi="Arial"/>
                <w:b/>
                <w:bCs/>
                <w:color w:val="FFFFFF"/>
                <w:sz w:val="17"/>
                <w:szCs w:val="17"/>
              </w:rPr>
              <w:t xml:space="preserve">2</w:t>
            </w:r>
          </w:p>
        </w:tc>
        <w:tc>
          <w:tcPr>
            <w:tcW w:type="dxa" w:w="3200"/>
            <w:tcBorders>
              <w:top w:val="single" w:color="E0E0E0" w:sz="1"/>
              <w:left w:val="single" w:color="E0E0E0" w:sz="1"/>
              <w:bottom w:val="single" w:color="E0E0E0" w:sz="1"/>
              <w:right w:val="single" w:color="E0E0E0" w:sz="1"/>
            </w:tcBorders>
            <w:shd w:fill="FFFFFF" w:val="clear"/>
            <w:tcMar>
              <w:top w:type="dxa" w:w="70"/>
              <w:left w:type="dxa" w:w="100"/>
              <w:bottom w:type="dxa" w:w="70"/>
              <w:right w:type="dxa" w:w="80"/>
            </w:tcMar>
          </w:tcPr>
          <w:p>
            <w:pPr>
              <w:spacing w:after="100" w:before="0"/>
              <w:jc w:val="left"/>
            </w:pPr>
            <w:r>
              <w:rPr>
                <w:rFonts w:ascii="Arial" w:cs="Arial" w:eastAsia="Arial" w:hAnsi="Arial"/>
                <w:b/>
                <w:bCs/>
                <w:color w:val="0D1B2A"/>
                <w:sz w:val="17"/>
                <w:szCs w:val="17"/>
              </w:rPr>
              <w:t xml:space="preserve">Dados e Tecnologia</w:t>
            </w:r>
          </w:p>
        </w:tc>
        <w:tc>
          <w:tcPr>
            <w:tcW w:type="dxa" w:w="20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80"/>
            </w:tcMar>
          </w:tcPr>
          <w:p>
            <w:pPr>
              <w:spacing w:after="100" w:before="0"/>
              <w:jc w:val="center"/>
            </w:pPr>
            <w:r>
              <w:rPr>
                <w:rFonts w:ascii="Arial" w:cs="Arial" w:eastAsia="Arial" w:hAnsi="Arial"/>
                <w:b/>
                <w:bCs/>
                <w:color w:val="0D1B2A"/>
                <w:sz w:val="16"/>
                <w:szCs w:val="16"/>
              </w:rPr>
              <w:t xml:space="preserve">MIT CISR</w:t>
            </w:r>
          </w:p>
        </w:tc>
        <w:tc>
          <w:tcPr>
            <w:tcW w:type="dxa" w:w="3680"/>
            <w:tcBorders>
              <w:top w:val="single" w:color="E0E0E0" w:sz="1"/>
              <w:left w:val="single" w:color="E0E0E0" w:sz="1"/>
              <w:bottom w:val="single" w:color="E0E0E0" w:sz="1"/>
              <w:right w:val="single" w:color="E0E0E0" w:sz="1"/>
            </w:tcBorders>
            <w:shd w:fill="FFFFFF" w:val="clear"/>
            <w:tcMar>
              <w:top w:type="dxa" w:w="70"/>
              <w:left w:type="dxa" w:w="100"/>
              <w:bottom w:type="dxa" w:w="70"/>
              <w:right w:type="dxa" w:w="80"/>
            </w:tcMar>
          </w:tcPr>
          <w:p>
            <w:pPr>
              <w:spacing w:after="100" w:before="0"/>
              <w:jc w:val="left"/>
            </w:pPr>
            <w:r>
              <w:rPr>
                <w:rFonts w:ascii="Arial" w:cs="Arial" w:eastAsia="Arial" w:hAnsi="Arial"/>
                <w:b w:val="false"/>
                <w:bCs w:val="false"/>
                <w:color w:val="008F7A"/>
                <w:sz w:val="17"/>
                <w:szCs w:val="17"/>
              </w:rPr>
              <w:t xml:space="preserve">7%</w:t>
            </w:r>
          </w:p>
        </w:tc>
      </w:tr>
      <w:tr>
        <w:tc>
          <w:tcPr>
            <w:tcW w:type="dxa" w:w="480"/>
            <w:tcBorders>
              <w:top w:val="single" w:color="E0E0E0" w:sz="1"/>
              <w:left w:val="single" w:color="E0E0E0" w:sz="1"/>
              <w:bottom w:val="single" w:color="E0E0E0" w:sz="1"/>
              <w:right w:val="single" w:color="E0E0E0" w:sz="1"/>
            </w:tcBorders>
            <w:shd w:fill="C0392B" w:val="clear"/>
            <w:tcMar>
              <w:top w:type="dxa" w:w="70"/>
              <w:left w:type="dxa" w:w="60"/>
              <w:bottom w:type="dxa" w:w="70"/>
              <w:right w:type="dxa" w:w="60"/>
            </w:tcMar>
          </w:tcPr>
          <w:p>
            <w:pPr>
              <w:spacing w:after="100" w:before="0"/>
              <w:jc w:val="center"/>
            </w:pPr>
            <w:r>
              <w:rPr>
                <w:rFonts w:ascii="Arial" w:cs="Arial" w:eastAsia="Arial" w:hAnsi="Arial"/>
                <w:b/>
                <w:bCs/>
                <w:color w:val="FFFFFF"/>
                <w:sz w:val="17"/>
                <w:szCs w:val="17"/>
              </w:rPr>
              <w:t xml:space="preserve">3</w:t>
            </w:r>
          </w:p>
        </w:tc>
        <w:tc>
          <w:tcPr>
            <w:tcW w:type="dxa" w:w="3200"/>
            <w:tcBorders>
              <w:top w:val="single" w:color="E0E0E0" w:sz="1"/>
              <w:left w:val="single" w:color="E0E0E0" w:sz="1"/>
              <w:bottom w:val="single" w:color="E0E0E0" w:sz="1"/>
              <w:right w:val="single" w:color="E0E0E0" w:sz="1"/>
            </w:tcBorders>
            <w:shd w:fill="F5F5F5" w:val="clear"/>
            <w:tcMar>
              <w:top w:type="dxa" w:w="70"/>
              <w:left w:type="dxa" w:w="100"/>
              <w:bottom w:type="dxa" w:w="70"/>
              <w:right w:type="dxa" w:w="80"/>
            </w:tcMar>
          </w:tcPr>
          <w:p>
            <w:pPr>
              <w:spacing w:after="100" w:before="0"/>
              <w:jc w:val="left"/>
            </w:pPr>
            <w:r>
              <w:rPr>
                <w:rFonts w:ascii="Arial" w:cs="Arial" w:eastAsia="Arial" w:hAnsi="Arial"/>
                <w:b/>
                <w:bCs/>
                <w:color w:val="0D1B2A"/>
                <w:sz w:val="17"/>
                <w:szCs w:val="17"/>
              </w:rPr>
              <w:t xml:space="preserve">Governança e Risco</w:t>
            </w:r>
          </w:p>
        </w:tc>
        <w:tc>
          <w:tcPr>
            <w:tcW w:type="dxa" w:w="20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80"/>
            </w:tcMar>
          </w:tcPr>
          <w:p>
            <w:pPr>
              <w:spacing w:after="100" w:before="0"/>
              <w:jc w:val="center"/>
            </w:pPr>
            <w:r>
              <w:rPr>
                <w:rFonts w:ascii="Arial" w:cs="Arial" w:eastAsia="Arial" w:hAnsi="Arial"/>
                <w:b/>
                <w:bCs/>
                <w:color w:val="1A5E8A"/>
                <w:sz w:val="16"/>
                <w:szCs w:val="16"/>
              </w:rPr>
              <w:t xml:space="preserve">NIST AI RMF</w:t>
            </w:r>
          </w:p>
        </w:tc>
        <w:tc>
          <w:tcPr>
            <w:tcW w:type="dxa" w:w="3680"/>
            <w:tcBorders>
              <w:top w:val="single" w:color="E0E0E0" w:sz="1"/>
              <w:left w:val="single" w:color="E0E0E0" w:sz="1"/>
              <w:bottom w:val="single" w:color="E0E0E0" w:sz="1"/>
              <w:right w:val="single" w:color="E0E0E0" w:sz="1"/>
            </w:tcBorders>
            <w:shd w:fill="F5F5F5" w:val="clear"/>
            <w:tcMar>
              <w:top w:type="dxa" w:w="70"/>
              <w:left w:type="dxa" w:w="100"/>
              <w:bottom w:type="dxa" w:w="70"/>
              <w:right w:type="dxa" w:w="80"/>
            </w:tcMar>
          </w:tcPr>
          <w:p>
            <w:pPr>
              <w:spacing w:after="100" w:before="0"/>
              <w:jc w:val="left"/>
            </w:pPr>
            <w:r>
              <w:rPr>
                <w:rFonts w:ascii="Arial" w:cs="Arial" w:eastAsia="Arial" w:hAnsi="Arial"/>
                <w:b w:val="false"/>
                <w:bCs w:val="false"/>
                <w:color w:val="008F7A"/>
                <w:sz w:val="17"/>
                <w:szCs w:val="17"/>
              </w:rPr>
              <w:t xml:space="preserve">7%</w:t>
            </w:r>
          </w:p>
        </w:tc>
      </w:tr>
      <w:tr>
        <w:tc>
          <w:tcPr>
            <w:tcW w:type="dxa" w:w="480"/>
            <w:tcBorders>
              <w:top w:val="single" w:color="E0E0E0" w:sz="1"/>
              <w:left w:val="single" w:color="E0E0E0" w:sz="1"/>
              <w:bottom w:val="single" w:color="E0E0E0" w:sz="1"/>
              <w:right w:val="single" w:color="E0E0E0" w:sz="1"/>
            </w:tcBorders>
            <w:shd w:fill="534AB7" w:val="clear"/>
            <w:tcMar>
              <w:top w:type="dxa" w:w="70"/>
              <w:left w:type="dxa" w:w="60"/>
              <w:bottom w:type="dxa" w:w="70"/>
              <w:right w:type="dxa" w:w="60"/>
            </w:tcMar>
          </w:tcPr>
          <w:p>
            <w:pPr>
              <w:spacing w:after="100" w:before="0"/>
              <w:jc w:val="center"/>
            </w:pPr>
            <w:r>
              <w:rPr>
                <w:rFonts w:ascii="Arial" w:cs="Arial" w:eastAsia="Arial" w:hAnsi="Arial"/>
                <w:b/>
                <w:bCs/>
                <w:color w:val="FFFFFF"/>
                <w:sz w:val="17"/>
                <w:szCs w:val="17"/>
              </w:rPr>
              <w:t xml:space="preserve">4</w:t>
            </w:r>
          </w:p>
        </w:tc>
        <w:tc>
          <w:tcPr>
            <w:tcW w:type="dxa" w:w="3200"/>
            <w:tcBorders>
              <w:top w:val="single" w:color="E0E0E0" w:sz="1"/>
              <w:left w:val="single" w:color="E0E0E0" w:sz="1"/>
              <w:bottom w:val="single" w:color="E0E0E0" w:sz="1"/>
              <w:right w:val="single" w:color="E0E0E0" w:sz="1"/>
            </w:tcBorders>
            <w:shd w:fill="FFFFFF" w:val="clear"/>
            <w:tcMar>
              <w:top w:type="dxa" w:w="70"/>
              <w:left w:type="dxa" w:w="100"/>
              <w:bottom w:type="dxa" w:w="70"/>
              <w:right w:type="dxa" w:w="80"/>
            </w:tcMar>
          </w:tcPr>
          <w:p>
            <w:pPr>
              <w:spacing w:after="100" w:before="0"/>
              <w:jc w:val="left"/>
            </w:pPr>
            <w:r>
              <w:rPr>
                <w:rFonts w:ascii="Arial" w:cs="Arial" w:eastAsia="Arial" w:hAnsi="Arial"/>
                <w:b/>
                <w:bCs/>
                <w:color w:val="0D1B2A"/>
                <w:sz w:val="17"/>
                <w:szCs w:val="17"/>
              </w:rPr>
              <w:t xml:space="preserve">Pessoas e Cultura</w:t>
            </w:r>
          </w:p>
        </w:tc>
        <w:tc>
          <w:tcPr>
            <w:tcW w:type="dxa" w:w="20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80"/>
            </w:tcMar>
          </w:tcPr>
          <w:p>
            <w:pPr>
              <w:spacing w:after="100" w:before="0"/>
              <w:jc w:val="center"/>
            </w:pPr>
            <w:r>
              <w:rPr>
                <w:rFonts w:ascii="Arial" w:cs="Arial" w:eastAsia="Arial" w:hAnsi="Arial"/>
                <w:b/>
                <w:bCs/>
                <w:color w:val="534AB7"/>
                <w:sz w:val="16"/>
                <w:szCs w:val="16"/>
              </w:rPr>
              <w:t xml:space="preserve">SFIA</w:t>
            </w:r>
          </w:p>
        </w:tc>
        <w:tc>
          <w:tcPr>
            <w:tcW w:type="dxa" w:w="3680"/>
            <w:tcBorders>
              <w:top w:val="single" w:color="E0E0E0" w:sz="1"/>
              <w:left w:val="single" w:color="E0E0E0" w:sz="1"/>
              <w:bottom w:val="single" w:color="E0E0E0" w:sz="1"/>
              <w:right w:val="single" w:color="E0E0E0" w:sz="1"/>
            </w:tcBorders>
            <w:shd w:fill="FFFFFF" w:val="clear"/>
            <w:tcMar>
              <w:top w:type="dxa" w:w="70"/>
              <w:left w:type="dxa" w:w="100"/>
              <w:bottom w:type="dxa" w:w="70"/>
              <w:right w:type="dxa" w:w="80"/>
            </w:tcMar>
          </w:tcPr>
          <w:p>
            <w:pPr>
              <w:spacing w:after="100" w:before="0"/>
              <w:jc w:val="left"/>
            </w:pPr>
            <w:r>
              <w:rPr>
                <w:rFonts w:ascii="Arial" w:cs="Arial" w:eastAsia="Arial" w:hAnsi="Arial"/>
                <w:b w:val="false"/>
                <w:bCs w:val="false"/>
                <w:color w:val="008F7A"/>
                <w:sz w:val="17"/>
                <w:szCs w:val="17"/>
              </w:rPr>
              <w:t xml:space="preserve">6%</w:t>
            </w:r>
          </w:p>
        </w:tc>
      </w:tr>
      <w:tr>
        <w:tc>
          <w:tcPr>
            <w:tcW w:type="dxa" w:w="480"/>
            <w:tcBorders>
              <w:top w:val="single" w:color="E0E0E0" w:sz="1"/>
              <w:left w:val="single" w:color="E0E0E0" w:sz="1"/>
              <w:bottom w:val="single" w:color="E0E0E0" w:sz="1"/>
              <w:right w:val="single" w:color="E0E0E0" w:sz="1"/>
            </w:tcBorders>
            <w:shd w:fill="0D1B2A" w:val="clear"/>
            <w:tcMar>
              <w:top w:type="dxa" w:w="70"/>
              <w:left w:type="dxa" w:w="60"/>
              <w:bottom w:type="dxa" w:w="70"/>
              <w:right w:type="dxa" w:w="60"/>
            </w:tcMar>
          </w:tcPr>
          <w:p>
            <w:pPr>
              <w:spacing w:after="100" w:before="0"/>
              <w:jc w:val="center"/>
            </w:pPr>
            <w:r>
              <w:rPr>
                <w:rFonts w:ascii="Arial" w:cs="Arial" w:eastAsia="Arial" w:hAnsi="Arial"/>
                <w:b/>
                <w:bCs/>
                <w:color w:val="FFFFFF"/>
                <w:sz w:val="17"/>
                <w:szCs w:val="17"/>
              </w:rPr>
              <w:t xml:space="preserve">5</w:t>
            </w:r>
          </w:p>
        </w:tc>
        <w:tc>
          <w:tcPr>
            <w:tcW w:type="dxa" w:w="3200"/>
            <w:tcBorders>
              <w:top w:val="single" w:color="E0E0E0" w:sz="1"/>
              <w:left w:val="single" w:color="E0E0E0" w:sz="1"/>
              <w:bottom w:val="single" w:color="E0E0E0" w:sz="1"/>
              <w:right w:val="single" w:color="E0E0E0" w:sz="1"/>
            </w:tcBorders>
            <w:shd w:fill="F5F5F5" w:val="clear"/>
            <w:tcMar>
              <w:top w:type="dxa" w:w="70"/>
              <w:left w:type="dxa" w:w="100"/>
              <w:bottom w:type="dxa" w:w="70"/>
              <w:right w:type="dxa" w:w="80"/>
            </w:tcMar>
          </w:tcPr>
          <w:p>
            <w:pPr>
              <w:spacing w:after="100" w:before="0"/>
              <w:jc w:val="left"/>
            </w:pPr>
            <w:r>
              <w:rPr>
                <w:rFonts w:ascii="Arial" w:cs="Arial" w:eastAsia="Arial" w:hAnsi="Arial"/>
                <w:b/>
                <w:bCs/>
                <w:color w:val="0D1B2A"/>
                <w:sz w:val="17"/>
                <w:szCs w:val="17"/>
              </w:rPr>
              <w:t xml:space="preserve">Operações e Processos</w:t>
            </w:r>
          </w:p>
        </w:tc>
        <w:tc>
          <w:tcPr>
            <w:tcW w:type="dxa" w:w="20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80"/>
            </w:tcMar>
          </w:tcPr>
          <w:p>
            <w:pPr>
              <w:spacing w:after="100" w:before="0"/>
              <w:jc w:val="center"/>
            </w:pPr>
            <w:r>
              <w:rPr>
                <w:rFonts w:ascii="Arial" w:cs="Arial" w:eastAsia="Arial" w:hAnsi="Arial"/>
                <w:b/>
                <w:bCs/>
                <w:color w:val="0D1B2A"/>
                <w:sz w:val="16"/>
                <w:szCs w:val="16"/>
              </w:rPr>
              <w:t xml:space="preserve">MIT CISR</w:t>
            </w:r>
          </w:p>
        </w:tc>
        <w:tc>
          <w:tcPr>
            <w:tcW w:type="dxa" w:w="3680"/>
            <w:tcBorders>
              <w:top w:val="single" w:color="E0E0E0" w:sz="1"/>
              <w:left w:val="single" w:color="E0E0E0" w:sz="1"/>
              <w:bottom w:val="single" w:color="E0E0E0" w:sz="1"/>
              <w:right w:val="single" w:color="E0E0E0" w:sz="1"/>
            </w:tcBorders>
            <w:shd w:fill="F5F5F5" w:val="clear"/>
            <w:tcMar>
              <w:top w:type="dxa" w:w="70"/>
              <w:left w:type="dxa" w:w="100"/>
              <w:bottom w:type="dxa" w:w="70"/>
              <w:right w:type="dxa" w:w="80"/>
            </w:tcMar>
          </w:tcPr>
          <w:p>
            <w:pPr>
              <w:spacing w:after="100" w:before="0"/>
              <w:jc w:val="left"/>
            </w:pPr>
            <w:r>
              <w:rPr>
                <w:rFonts w:ascii="Arial" w:cs="Arial" w:eastAsia="Arial" w:hAnsi="Arial"/>
                <w:b w:val="false"/>
                <w:bCs w:val="false"/>
                <w:color w:val="008F7A"/>
                <w:sz w:val="17"/>
                <w:szCs w:val="17"/>
              </w:rPr>
              <w:t xml:space="preserve">6%</w:t>
            </w:r>
          </w:p>
        </w:tc>
      </w:tr>
      <w:tr>
        <w:tc>
          <w:tcPr>
            <w:tcW w:type="dxa" w:w="480"/>
            <w:tcBorders>
              <w:top w:val="single" w:color="E0E0E0" w:sz="1"/>
              <w:left w:val="single" w:color="E0E0E0" w:sz="1"/>
              <w:bottom w:val="single" w:color="E0E0E0" w:sz="1"/>
              <w:right w:val="single" w:color="E0E0E0" w:sz="1"/>
            </w:tcBorders>
            <w:shd w:fill="008F7A" w:val="clear"/>
            <w:tcMar>
              <w:top w:type="dxa" w:w="70"/>
              <w:left w:type="dxa" w:w="60"/>
              <w:bottom w:type="dxa" w:w="70"/>
              <w:right w:type="dxa" w:w="60"/>
            </w:tcMar>
          </w:tcPr>
          <w:p>
            <w:pPr>
              <w:spacing w:after="100" w:before="0"/>
              <w:jc w:val="center"/>
            </w:pPr>
            <w:r>
              <w:rPr>
                <w:rFonts w:ascii="Arial" w:cs="Arial" w:eastAsia="Arial" w:hAnsi="Arial"/>
                <w:b/>
                <w:bCs/>
                <w:color w:val="FFFFFF"/>
                <w:sz w:val="17"/>
                <w:szCs w:val="17"/>
              </w:rPr>
              <w:t xml:space="preserve">6</w:t>
            </w:r>
          </w:p>
        </w:tc>
        <w:tc>
          <w:tcPr>
            <w:tcW w:type="dxa" w:w="3200"/>
            <w:tcBorders>
              <w:top w:val="single" w:color="E0E0E0" w:sz="1"/>
              <w:left w:val="single" w:color="E0E0E0" w:sz="1"/>
              <w:bottom w:val="single" w:color="E0E0E0" w:sz="1"/>
              <w:right w:val="single" w:color="E0E0E0" w:sz="1"/>
            </w:tcBorders>
            <w:shd w:fill="FFFFFF" w:val="clear"/>
            <w:tcMar>
              <w:top w:type="dxa" w:w="70"/>
              <w:left w:type="dxa" w:w="100"/>
              <w:bottom w:type="dxa" w:w="70"/>
              <w:right w:type="dxa" w:w="80"/>
            </w:tcMar>
          </w:tcPr>
          <w:p>
            <w:pPr>
              <w:spacing w:after="100" w:before="0"/>
              <w:jc w:val="left"/>
            </w:pPr>
            <w:r>
              <w:rPr>
                <w:rFonts w:ascii="Arial" w:cs="Arial" w:eastAsia="Arial" w:hAnsi="Arial"/>
                <w:b/>
                <w:bCs/>
                <w:color w:val="0D1B2A"/>
                <w:sz w:val="17"/>
                <w:szCs w:val="17"/>
              </w:rPr>
              <w:t xml:space="preserve">Inovação e Experimentação</w:t>
            </w:r>
          </w:p>
        </w:tc>
        <w:tc>
          <w:tcPr>
            <w:tcW w:type="dxa" w:w="20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80"/>
            </w:tcMar>
          </w:tcPr>
          <w:p>
            <w:pPr>
              <w:spacing w:after="100" w:before="0"/>
              <w:jc w:val="center"/>
            </w:pPr>
            <w:r>
              <w:rPr>
                <w:rFonts w:ascii="Arial" w:cs="Arial" w:eastAsia="Arial" w:hAnsi="Arial"/>
                <w:b/>
                <w:bCs/>
                <w:color w:val="0D1B2A"/>
                <w:sz w:val="16"/>
                <w:szCs w:val="16"/>
              </w:rPr>
              <w:t xml:space="preserve">MIT CISR</w:t>
            </w:r>
          </w:p>
        </w:tc>
        <w:tc>
          <w:tcPr>
            <w:tcW w:type="dxa" w:w="3680"/>
            <w:tcBorders>
              <w:top w:val="single" w:color="E0E0E0" w:sz="1"/>
              <w:left w:val="single" w:color="E0E0E0" w:sz="1"/>
              <w:bottom w:val="single" w:color="E0E0E0" w:sz="1"/>
              <w:right w:val="single" w:color="E0E0E0" w:sz="1"/>
            </w:tcBorders>
            <w:shd w:fill="FFFFFF" w:val="clear"/>
            <w:tcMar>
              <w:top w:type="dxa" w:w="70"/>
              <w:left w:type="dxa" w:w="100"/>
              <w:bottom w:type="dxa" w:w="70"/>
              <w:right w:type="dxa" w:w="80"/>
            </w:tcMar>
          </w:tcPr>
          <w:p>
            <w:pPr>
              <w:spacing w:after="100" w:before="0"/>
              <w:jc w:val="left"/>
            </w:pPr>
            <w:r>
              <w:rPr>
                <w:rFonts w:ascii="Arial" w:cs="Arial" w:eastAsia="Arial" w:hAnsi="Arial"/>
                <w:b w:val="false"/>
                <w:bCs w:val="false"/>
                <w:color w:val="008F7A"/>
                <w:sz w:val="17"/>
                <w:szCs w:val="17"/>
              </w:rPr>
              <w:t xml:space="preserve">6%</w:t>
            </w:r>
          </w:p>
        </w:tc>
      </w:tr>
      <w:tr>
        <w:tc>
          <w:tcPr>
            <w:tcW w:type="dxa" w:w="480"/>
            <w:tcBorders>
              <w:top w:val="single" w:color="E0E0E0" w:sz="1"/>
              <w:left w:val="single" w:color="E0E0E0" w:sz="1"/>
              <w:bottom w:val="single" w:color="E0E0E0" w:sz="1"/>
              <w:right w:val="single" w:color="E0E0E0" w:sz="1"/>
            </w:tcBorders>
            <w:shd w:fill="1E8449" w:val="clear"/>
            <w:tcMar>
              <w:top w:type="dxa" w:w="70"/>
              <w:left w:type="dxa" w:w="60"/>
              <w:bottom w:type="dxa" w:w="70"/>
              <w:right w:type="dxa" w:w="60"/>
            </w:tcMar>
          </w:tcPr>
          <w:p>
            <w:pPr>
              <w:spacing w:after="100" w:before="0"/>
              <w:jc w:val="center"/>
            </w:pPr>
            <w:r>
              <w:rPr>
                <w:rFonts w:ascii="Arial" w:cs="Arial" w:eastAsia="Arial" w:hAnsi="Arial"/>
                <w:b/>
                <w:bCs/>
                <w:color w:val="FFFFFF"/>
                <w:sz w:val="17"/>
                <w:szCs w:val="17"/>
              </w:rPr>
              <w:t xml:space="preserve">7</w:t>
            </w:r>
          </w:p>
        </w:tc>
        <w:tc>
          <w:tcPr>
            <w:tcW w:type="dxa" w:w="3200"/>
            <w:tcBorders>
              <w:top w:val="single" w:color="E0E0E0" w:sz="1"/>
              <w:left w:val="single" w:color="E0E0E0" w:sz="1"/>
              <w:bottom w:val="single" w:color="E0E0E0" w:sz="1"/>
              <w:right w:val="single" w:color="E0E0E0" w:sz="1"/>
            </w:tcBorders>
            <w:shd w:fill="F5F5F5" w:val="clear"/>
            <w:tcMar>
              <w:top w:type="dxa" w:w="70"/>
              <w:left w:type="dxa" w:w="100"/>
              <w:bottom w:type="dxa" w:w="70"/>
              <w:right w:type="dxa" w:w="80"/>
            </w:tcMar>
          </w:tcPr>
          <w:p>
            <w:pPr>
              <w:spacing w:after="100" w:before="0"/>
              <w:jc w:val="left"/>
            </w:pPr>
            <w:r>
              <w:rPr>
                <w:rFonts w:ascii="Arial" w:cs="Arial" w:eastAsia="Arial" w:hAnsi="Arial"/>
                <w:b/>
                <w:bCs/>
                <w:color w:val="0D1B2A"/>
                <w:sz w:val="17"/>
                <w:szCs w:val="17"/>
              </w:rPr>
              <w:t xml:space="preserve">Valor de Negócio e ROI</w:t>
            </w:r>
          </w:p>
        </w:tc>
        <w:tc>
          <w:tcPr>
            <w:tcW w:type="dxa" w:w="20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80"/>
            </w:tcMar>
          </w:tcPr>
          <w:p>
            <w:pPr>
              <w:spacing w:after="100" w:before="0"/>
              <w:jc w:val="center"/>
            </w:pPr>
            <w:r>
              <w:rPr>
                <w:rFonts w:ascii="Arial" w:cs="Arial" w:eastAsia="Arial" w:hAnsi="Arial"/>
                <w:b/>
                <w:bCs/>
                <w:color w:val="008F7A"/>
                <w:sz w:val="16"/>
                <w:szCs w:val="16"/>
              </w:rPr>
              <w:t xml:space="preserve">McKinsey</w:t>
            </w:r>
          </w:p>
        </w:tc>
        <w:tc>
          <w:tcPr>
            <w:tcW w:type="dxa" w:w="3680"/>
            <w:tcBorders>
              <w:top w:val="single" w:color="E0E0E0" w:sz="1"/>
              <w:left w:val="single" w:color="E0E0E0" w:sz="1"/>
              <w:bottom w:val="single" w:color="E0E0E0" w:sz="1"/>
              <w:right w:val="single" w:color="E0E0E0" w:sz="1"/>
            </w:tcBorders>
            <w:shd w:fill="F5F5F5" w:val="clear"/>
            <w:tcMar>
              <w:top w:type="dxa" w:w="70"/>
              <w:left w:type="dxa" w:w="100"/>
              <w:bottom w:type="dxa" w:w="70"/>
              <w:right w:type="dxa" w:w="80"/>
            </w:tcMar>
          </w:tcPr>
          <w:p>
            <w:pPr>
              <w:spacing w:after="100" w:before="0"/>
              <w:jc w:val="left"/>
            </w:pPr>
            <w:r>
              <w:rPr>
                <w:rFonts w:ascii="Arial" w:cs="Arial" w:eastAsia="Arial" w:hAnsi="Arial"/>
                <w:b w:val="false"/>
                <w:bCs w:val="false"/>
                <w:color w:val="008F7A"/>
                <w:sz w:val="17"/>
                <w:szCs w:val="17"/>
              </w:rPr>
              <w:t xml:space="preserve">7%</w:t>
            </w:r>
          </w:p>
        </w:tc>
      </w:tr>
      <w:tr>
        <w:tc>
          <w:tcPr>
            <w:tcW w:type="dxa" w:w="480"/>
            <w:tcBorders>
              <w:top w:val="single" w:color="E0E0E0" w:sz="1"/>
              <w:left w:val="single" w:color="E0E0E0" w:sz="1"/>
              <w:bottom w:val="single" w:color="E0E0E0" w:sz="1"/>
              <w:right w:val="single" w:color="E0E0E0" w:sz="1"/>
            </w:tcBorders>
            <w:shd w:fill="0D1B2A" w:val="clear"/>
            <w:tcMar>
              <w:top w:type="dxa" w:w="70"/>
              <w:left w:type="dxa" w:w="60"/>
              <w:bottom w:type="dxa" w:w="70"/>
              <w:right w:type="dxa" w:w="60"/>
            </w:tcMar>
          </w:tcPr>
          <w:p>
            <w:pPr>
              <w:spacing w:after="100" w:before="0"/>
              <w:jc w:val="center"/>
            </w:pPr>
            <w:r>
              <w:rPr>
                <w:rFonts w:ascii="Arial" w:cs="Arial" w:eastAsia="Arial" w:hAnsi="Arial"/>
                <w:b/>
                <w:bCs/>
                <w:color w:val="FFFFFF"/>
                <w:sz w:val="17"/>
                <w:szCs w:val="17"/>
              </w:rPr>
              <w:t xml:space="preserve">8</w:t>
            </w:r>
          </w:p>
        </w:tc>
        <w:tc>
          <w:tcPr>
            <w:tcW w:type="dxa" w:w="3200"/>
            <w:tcBorders>
              <w:top w:val="single" w:color="E0E0E0" w:sz="1"/>
              <w:left w:val="single" w:color="E0E0E0" w:sz="1"/>
              <w:bottom w:val="single" w:color="E0E0E0" w:sz="1"/>
              <w:right w:val="single" w:color="E0E0E0" w:sz="1"/>
            </w:tcBorders>
            <w:shd w:fill="FFFFFF" w:val="clear"/>
            <w:tcMar>
              <w:top w:type="dxa" w:w="70"/>
              <w:left w:type="dxa" w:w="100"/>
              <w:bottom w:type="dxa" w:w="70"/>
              <w:right w:type="dxa" w:w="80"/>
            </w:tcMar>
          </w:tcPr>
          <w:p>
            <w:pPr>
              <w:spacing w:after="100" w:before="0"/>
              <w:jc w:val="left"/>
            </w:pPr>
            <w:r>
              <w:rPr>
                <w:rFonts w:ascii="Arial" w:cs="Arial" w:eastAsia="Arial" w:hAnsi="Arial"/>
                <w:b/>
                <w:bCs/>
                <w:color w:val="0D1B2A"/>
                <w:sz w:val="17"/>
                <w:szCs w:val="17"/>
              </w:rPr>
              <w:t xml:space="preserve">Ecossistema e Parcerias</w:t>
            </w:r>
          </w:p>
        </w:tc>
        <w:tc>
          <w:tcPr>
            <w:tcW w:type="dxa" w:w="20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80"/>
            </w:tcMar>
          </w:tcPr>
          <w:p>
            <w:pPr>
              <w:spacing w:after="100" w:before="0"/>
              <w:jc w:val="center"/>
            </w:pPr>
            <w:r>
              <w:rPr>
                <w:rFonts w:ascii="Arial" w:cs="Arial" w:eastAsia="Arial" w:hAnsi="Arial"/>
                <w:b/>
                <w:bCs/>
                <w:color w:val="0D1B2A"/>
                <w:sz w:val="16"/>
                <w:szCs w:val="16"/>
              </w:rPr>
              <w:t xml:space="preserve">MIT CISR</w:t>
            </w:r>
          </w:p>
        </w:tc>
        <w:tc>
          <w:tcPr>
            <w:tcW w:type="dxa" w:w="3680"/>
            <w:tcBorders>
              <w:top w:val="single" w:color="E0E0E0" w:sz="1"/>
              <w:left w:val="single" w:color="E0E0E0" w:sz="1"/>
              <w:bottom w:val="single" w:color="E0E0E0" w:sz="1"/>
              <w:right w:val="single" w:color="E0E0E0" w:sz="1"/>
            </w:tcBorders>
            <w:shd w:fill="FFFFFF" w:val="clear"/>
            <w:tcMar>
              <w:top w:type="dxa" w:w="70"/>
              <w:left w:type="dxa" w:w="100"/>
              <w:bottom w:type="dxa" w:w="70"/>
              <w:right w:type="dxa" w:w="80"/>
            </w:tcMar>
          </w:tcPr>
          <w:p>
            <w:pPr>
              <w:spacing w:after="100" w:before="0"/>
              <w:jc w:val="left"/>
            </w:pPr>
            <w:r>
              <w:rPr>
                <w:rFonts w:ascii="Arial" w:cs="Arial" w:eastAsia="Arial" w:hAnsi="Arial"/>
                <w:b w:val="false"/>
                <w:bCs w:val="false"/>
                <w:color w:val="008F7A"/>
                <w:sz w:val="17"/>
                <w:szCs w:val="17"/>
              </w:rPr>
              <w:t xml:space="preserve">6%</w:t>
            </w:r>
          </w:p>
        </w:tc>
      </w:tr>
      <w:tr>
        <w:tc>
          <w:tcPr>
            <w:tcW w:type="dxa" w:w="480"/>
            <w:tcBorders>
              <w:top w:val="single" w:color="E0E0E0" w:sz="1"/>
              <w:left w:val="single" w:color="E0E0E0" w:sz="1"/>
              <w:bottom w:val="single" w:color="E0E0E0" w:sz="1"/>
              <w:right w:val="single" w:color="E0E0E0" w:sz="1"/>
            </w:tcBorders>
            <w:shd w:fill="00C2A8" w:val="clear"/>
            <w:tcMar>
              <w:top w:type="dxa" w:w="70"/>
              <w:left w:type="dxa" w:w="60"/>
              <w:bottom w:type="dxa" w:w="70"/>
              <w:right w:type="dxa" w:w="60"/>
            </w:tcMar>
          </w:tcPr>
          <w:p>
            <w:pPr>
              <w:spacing w:after="100" w:before="0"/>
              <w:jc w:val="center"/>
            </w:pPr>
            <w:r>
              <w:rPr>
                <w:rFonts w:ascii="Arial" w:cs="Arial" w:eastAsia="Arial" w:hAnsi="Arial"/>
                <w:b/>
                <w:bCs/>
                <w:color w:val="FFFFFF"/>
                <w:sz w:val="17"/>
                <w:szCs w:val="17"/>
              </w:rPr>
              <w:t xml:space="preserve">9</w:t>
            </w:r>
          </w:p>
        </w:tc>
        <w:tc>
          <w:tcPr>
            <w:tcW w:type="dxa" w:w="3200"/>
            <w:tcBorders>
              <w:top w:val="single" w:color="E0E0E0" w:sz="1"/>
              <w:left w:val="single" w:color="E0E0E0" w:sz="1"/>
              <w:bottom w:val="single" w:color="E0E0E0" w:sz="1"/>
              <w:right w:val="single" w:color="E0E0E0" w:sz="1"/>
            </w:tcBorders>
            <w:shd w:fill="F5F5F5" w:val="clear"/>
            <w:tcMar>
              <w:top w:type="dxa" w:w="70"/>
              <w:left w:type="dxa" w:w="100"/>
              <w:bottom w:type="dxa" w:w="70"/>
              <w:right w:type="dxa" w:w="80"/>
            </w:tcMar>
          </w:tcPr>
          <w:p>
            <w:pPr>
              <w:spacing w:after="100" w:before="0"/>
              <w:jc w:val="left"/>
            </w:pPr>
            <w:r>
              <w:rPr>
                <w:rFonts w:ascii="Arial" w:cs="Arial" w:eastAsia="Arial" w:hAnsi="Arial"/>
                <w:b/>
                <w:bCs/>
                <w:color w:val="0D1B2A"/>
                <w:sz w:val="17"/>
                <w:szCs w:val="17"/>
              </w:rPr>
              <w:t xml:space="preserve">Valor por Unidade de Negócio</w:t>
            </w:r>
          </w:p>
        </w:tc>
        <w:tc>
          <w:tcPr>
            <w:tcW w:type="dxa" w:w="20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80"/>
            </w:tcMar>
          </w:tcPr>
          <w:p>
            <w:pPr>
              <w:spacing w:after="100" w:before="0"/>
              <w:jc w:val="center"/>
            </w:pPr>
            <w:r>
              <w:rPr>
                <w:rFonts w:ascii="Arial" w:cs="Arial" w:eastAsia="Arial" w:hAnsi="Arial"/>
                <w:b/>
                <w:bCs/>
                <w:color w:val="008F7A"/>
                <w:sz w:val="16"/>
                <w:szCs w:val="16"/>
              </w:rPr>
              <w:t xml:space="preserve">McKinsey + BCG</w:t>
            </w:r>
          </w:p>
        </w:tc>
        <w:tc>
          <w:tcPr>
            <w:tcW w:type="dxa" w:w="3680"/>
            <w:tcBorders>
              <w:top w:val="single" w:color="E0E0E0" w:sz="1"/>
              <w:left w:val="single" w:color="E0E0E0" w:sz="1"/>
              <w:bottom w:val="single" w:color="E0E0E0" w:sz="1"/>
              <w:right w:val="single" w:color="E0E0E0" w:sz="1"/>
            </w:tcBorders>
            <w:shd w:fill="F5F5F5" w:val="clear"/>
            <w:tcMar>
              <w:top w:type="dxa" w:w="70"/>
              <w:left w:type="dxa" w:w="100"/>
              <w:bottom w:type="dxa" w:w="70"/>
              <w:right w:type="dxa" w:w="80"/>
            </w:tcMar>
          </w:tcPr>
          <w:p>
            <w:pPr>
              <w:spacing w:after="100" w:before="0"/>
              <w:jc w:val="left"/>
            </w:pPr>
            <w:r>
              <w:rPr>
                <w:rFonts w:ascii="Arial" w:cs="Arial" w:eastAsia="Arial" w:hAnsi="Arial"/>
                <w:b w:val="false"/>
                <w:bCs w:val="false"/>
                <w:color w:val="008F7A"/>
                <w:sz w:val="17"/>
                <w:szCs w:val="17"/>
              </w:rPr>
              <w:t xml:space="preserve">5%</w:t>
            </w:r>
          </w:p>
        </w:tc>
      </w:tr>
      <w:tr>
        <w:tc>
          <w:tcPr>
            <w:tcW w:type="dxa" w:w="480"/>
            <w:tcBorders>
              <w:top w:val="single" w:color="E0E0E0" w:sz="1"/>
              <w:left w:val="single" w:color="E0E0E0" w:sz="1"/>
              <w:bottom w:val="single" w:color="E0E0E0" w:sz="1"/>
              <w:right w:val="single" w:color="E0E0E0" w:sz="1"/>
            </w:tcBorders>
            <w:shd w:fill="534AB7" w:val="clear"/>
            <w:tcMar>
              <w:top w:type="dxa" w:w="70"/>
              <w:left w:type="dxa" w:w="60"/>
              <w:bottom w:type="dxa" w:w="70"/>
              <w:right w:type="dxa" w:w="60"/>
            </w:tcMar>
          </w:tcPr>
          <w:p>
            <w:pPr>
              <w:spacing w:after="100" w:before="0"/>
              <w:jc w:val="center"/>
            </w:pPr>
            <w:r>
              <w:rPr>
                <w:rFonts w:ascii="Arial" w:cs="Arial" w:eastAsia="Arial" w:hAnsi="Arial"/>
                <w:b/>
                <w:bCs/>
                <w:color w:val="FFFFFF"/>
                <w:sz w:val="17"/>
                <w:szCs w:val="17"/>
              </w:rPr>
              <w:t xml:space="preserve">10</w:t>
            </w:r>
          </w:p>
        </w:tc>
        <w:tc>
          <w:tcPr>
            <w:tcW w:type="dxa" w:w="3200"/>
            <w:tcBorders>
              <w:top w:val="single" w:color="E0E0E0" w:sz="1"/>
              <w:left w:val="single" w:color="E0E0E0" w:sz="1"/>
              <w:bottom w:val="single" w:color="E0E0E0" w:sz="1"/>
              <w:right w:val="single" w:color="E0E0E0" w:sz="1"/>
            </w:tcBorders>
            <w:shd w:fill="FFFFFF" w:val="clear"/>
            <w:tcMar>
              <w:top w:type="dxa" w:w="70"/>
              <w:left w:type="dxa" w:w="100"/>
              <w:bottom w:type="dxa" w:w="70"/>
              <w:right w:type="dxa" w:w="80"/>
            </w:tcMar>
          </w:tcPr>
          <w:p>
            <w:pPr>
              <w:spacing w:after="100" w:before="0"/>
              <w:jc w:val="left"/>
            </w:pPr>
            <w:r>
              <w:rPr>
                <w:rFonts w:ascii="Arial" w:cs="Arial" w:eastAsia="Arial" w:hAnsi="Arial"/>
                <w:b/>
                <w:bCs/>
                <w:color w:val="0D1B2A"/>
                <w:sz w:val="17"/>
                <w:szCs w:val="17"/>
              </w:rPr>
              <w:t xml:space="preserve">Talentos e Capacidades</w:t>
            </w:r>
          </w:p>
        </w:tc>
        <w:tc>
          <w:tcPr>
            <w:tcW w:type="dxa" w:w="20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80"/>
            </w:tcMar>
          </w:tcPr>
          <w:p>
            <w:pPr>
              <w:spacing w:after="100" w:before="0"/>
              <w:jc w:val="center"/>
            </w:pPr>
            <w:r>
              <w:rPr>
                <w:rFonts w:ascii="Arial" w:cs="Arial" w:eastAsia="Arial" w:hAnsi="Arial"/>
                <w:b/>
                <w:bCs/>
                <w:color w:val="534AB7"/>
                <w:sz w:val="16"/>
                <w:szCs w:val="16"/>
              </w:rPr>
              <w:t xml:space="preserve">SFIA + Gartner</w:t>
            </w:r>
          </w:p>
        </w:tc>
        <w:tc>
          <w:tcPr>
            <w:tcW w:type="dxa" w:w="3680"/>
            <w:tcBorders>
              <w:top w:val="single" w:color="E0E0E0" w:sz="1"/>
              <w:left w:val="single" w:color="E0E0E0" w:sz="1"/>
              <w:bottom w:val="single" w:color="E0E0E0" w:sz="1"/>
              <w:right w:val="single" w:color="E0E0E0" w:sz="1"/>
            </w:tcBorders>
            <w:shd w:fill="FFFFFF" w:val="clear"/>
            <w:tcMar>
              <w:top w:type="dxa" w:w="70"/>
              <w:left w:type="dxa" w:w="100"/>
              <w:bottom w:type="dxa" w:w="70"/>
              <w:right w:type="dxa" w:w="80"/>
            </w:tcMar>
          </w:tcPr>
          <w:p>
            <w:pPr>
              <w:spacing w:after="100" w:before="0"/>
              <w:jc w:val="left"/>
            </w:pPr>
            <w:r>
              <w:rPr>
                <w:rFonts w:ascii="Arial" w:cs="Arial" w:eastAsia="Arial" w:hAnsi="Arial"/>
                <w:b w:val="false"/>
                <w:bCs w:val="false"/>
                <w:color w:val="008F7A"/>
                <w:sz w:val="17"/>
                <w:szCs w:val="17"/>
              </w:rPr>
              <w:t xml:space="preserve">5%</w:t>
            </w:r>
          </w:p>
        </w:tc>
      </w:tr>
      <w:tr>
        <w:tc>
          <w:tcPr>
            <w:tcW w:type="dxa" w:w="480"/>
            <w:tcBorders>
              <w:top w:val="single" w:color="E0E0E0" w:sz="1"/>
              <w:left w:val="single" w:color="E0E0E0" w:sz="1"/>
              <w:bottom w:val="single" w:color="E0E0E0" w:sz="1"/>
              <w:right w:val="single" w:color="E0E0E0" w:sz="1"/>
            </w:tcBorders>
            <w:shd w:fill="C0392B" w:val="clear"/>
            <w:tcMar>
              <w:top w:type="dxa" w:w="70"/>
              <w:left w:type="dxa" w:w="60"/>
              <w:bottom w:type="dxa" w:w="70"/>
              <w:right w:type="dxa" w:w="60"/>
            </w:tcMar>
          </w:tcPr>
          <w:p>
            <w:pPr>
              <w:spacing w:after="100" w:before="0"/>
              <w:jc w:val="center"/>
            </w:pPr>
            <w:r>
              <w:rPr>
                <w:rFonts w:ascii="Arial" w:cs="Arial" w:eastAsia="Arial" w:hAnsi="Arial"/>
                <w:b/>
                <w:bCs/>
                <w:color w:val="FFFFFF"/>
                <w:sz w:val="17"/>
                <w:szCs w:val="17"/>
              </w:rPr>
              <w:t xml:space="preserve">11</w:t>
            </w:r>
          </w:p>
        </w:tc>
        <w:tc>
          <w:tcPr>
            <w:tcW w:type="dxa" w:w="3200"/>
            <w:tcBorders>
              <w:top w:val="single" w:color="E0E0E0" w:sz="1"/>
              <w:left w:val="single" w:color="E0E0E0" w:sz="1"/>
              <w:bottom w:val="single" w:color="E0E0E0" w:sz="1"/>
              <w:right w:val="single" w:color="E0E0E0" w:sz="1"/>
            </w:tcBorders>
            <w:shd w:fill="F5F5F5" w:val="clear"/>
            <w:tcMar>
              <w:top w:type="dxa" w:w="70"/>
              <w:left w:type="dxa" w:w="100"/>
              <w:bottom w:type="dxa" w:w="70"/>
              <w:right w:type="dxa" w:w="80"/>
            </w:tcMar>
          </w:tcPr>
          <w:p>
            <w:pPr>
              <w:spacing w:after="100" w:before="0"/>
              <w:jc w:val="left"/>
            </w:pPr>
            <w:r>
              <w:rPr>
                <w:rFonts w:ascii="Arial" w:cs="Arial" w:eastAsia="Arial" w:hAnsi="Arial"/>
                <w:b/>
                <w:bCs/>
                <w:color w:val="0D1B2A"/>
                <w:sz w:val="17"/>
                <w:szCs w:val="17"/>
              </w:rPr>
              <w:t xml:space="preserve">Conformidade Regulatória</w:t>
            </w:r>
          </w:p>
        </w:tc>
        <w:tc>
          <w:tcPr>
            <w:tcW w:type="dxa" w:w="20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80"/>
            </w:tcMar>
          </w:tcPr>
          <w:p>
            <w:pPr>
              <w:spacing w:after="100" w:before="0"/>
              <w:jc w:val="center"/>
            </w:pPr>
            <w:r>
              <w:rPr>
                <w:rFonts w:ascii="Arial" w:cs="Arial" w:eastAsia="Arial" w:hAnsi="Arial"/>
                <w:b/>
                <w:bCs/>
                <w:color w:val="1A5E8A"/>
                <w:sz w:val="16"/>
                <w:szCs w:val="16"/>
              </w:rPr>
              <w:t xml:space="preserve">NIST AI RMF</w:t>
            </w:r>
          </w:p>
        </w:tc>
        <w:tc>
          <w:tcPr>
            <w:tcW w:type="dxa" w:w="3680"/>
            <w:tcBorders>
              <w:top w:val="single" w:color="E0E0E0" w:sz="1"/>
              <w:left w:val="single" w:color="E0E0E0" w:sz="1"/>
              <w:bottom w:val="single" w:color="E0E0E0" w:sz="1"/>
              <w:right w:val="single" w:color="E0E0E0" w:sz="1"/>
            </w:tcBorders>
            <w:shd w:fill="F5F5F5" w:val="clear"/>
            <w:tcMar>
              <w:top w:type="dxa" w:w="70"/>
              <w:left w:type="dxa" w:w="100"/>
              <w:bottom w:type="dxa" w:w="70"/>
              <w:right w:type="dxa" w:w="80"/>
            </w:tcMar>
          </w:tcPr>
          <w:p>
            <w:pPr>
              <w:spacing w:after="100" w:before="0"/>
              <w:jc w:val="left"/>
            </w:pPr>
            <w:r>
              <w:rPr>
                <w:rFonts w:ascii="Arial" w:cs="Arial" w:eastAsia="Arial" w:hAnsi="Arial"/>
                <w:b w:val="false"/>
                <w:bCs w:val="false"/>
                <w:color w:val="008F7A"/>
                <w:sz w:val="17"/>
                <w:szCs w:val="17"/>
              </w:rPr>
              <w:t xml:space="preserve">5%</w:t>
            </w:r>
          </w:p>
        </w:tc>
      </w:tr>
      <w:tr>
        <w:tc>
          <w:tcPr>
            <w:tcW w:type="dxa" w:w="480"/>
            <w:tcBorders>
              <w:top w:val="single" w:color="E0E0E0" w:sz="1"/>
              <w:left w:val="single" w:color="E0E0E0" w:sz="1"/>
              <w:bottom w:val="single" w:color="E0E0E0" w:sz="1"/>
              <w:right w:val="single" w:color="E0E0E0" w:sz="1"/>
            </w:tcBorders>
            <w:shd w:fill="F5A623" w:val="clear"/>
            <w:tcMar>
              <w:top w:type="dxa" w:w="70"/>
              <w:left w:type="dxa" w:w="60"/>
              <w:bottom w:type="dxa" w:w="70"/>
              <w:right w:type="dxa" w:w="60"/>
            </w:tcMar>
          </w:tcPr>
          <w:p>
            <w:pPr>
              <w:spacing w:after="100" w:before="0"/>
              <w:jc w:val="center"/>
            </w:pPr>
            <w:r>
              <w:rPr>
                <w:rFonts w:ascii="Arial" w:cs="Arial" w:eastAsia="Arial" w:hAnsi="Arial"/>
                <w:b/>
                <w:bCs/>
                <w:color w:val="FFFFFF"/>
                <w:sz w:val="17"/>
                <w:szCs w:val="17"/>
              </w:rPr>
              <w:t xml:space="preserve">12</w:t>
            </w:r>
          </w:p>
        </w:tc>
        <w:tc>
          <w:tcPr>
            <w:tcW w:type="dxa" w:w="3200"/>
            <w:tcBorders>
              <w:top w:val="single" w:color="E0E0E0" w:sz="1"/>
              <w:left w:val="single" w:color="E0E0E0" w:sz="1"/>
              <w:bottom w:val="single" w:color="E0E0E0" w:sz="1"/>
              <w:right w:val="single" w:color="E0E0E0" w:sz="1"/>
            </w:tcBorders>
            <w:shd w:fill="FFFFFF" w:val="clear"/>
            <w:tcMar>
              <w:top w:type="dxa" w:w="70"/>
              <w:left w:type="dxa" w:w="100"/>
              <w:bottom w:type="dxa" w:w="70"/>
              <w:right w:type="dxa" w:w="80"/>
            </w:tcMar>
          </w:tcPr>
          <w:p>
            <w:pPr>
              <w:spacing w:after="100" w:before="0"/>
              <w:jc w:val="left"/>
            </w:pPr>
            <w:r>
              <w:rPr>
                <w:rFonts w:ascii="Arial" w:cs="Arial" w:eastAsia="Arial" w:hAnsi="Arial"/>
                <w:b/>
                <w:bCs/>
                <w:color w:val="0D1B2A"/>
                <w:sz w:val="17"/>
                <w:szCs w:val="17"/>
              </w:rPr>
              <w:t xml:space="preserve">Prontidão para Mudança</w:t>
            </w:r>
          </w:p>
        </w:tc>
        <w:tc>
          <w:tcPr>
            <w:tcW w:type="dxa" w:w="20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80"/>
            </w:tcMar>
          </w:tcPr>
          <w:p>
            <w:pPr>
              <w:spacing w:after="100" w:before="0"/>
              <w:jc w:val="center"/>
            </w:pPr>
            <w:r>
              <w:rPr>
                <w:rFonts w:ascii="Arial" w:cs="Arial" w:eastAsia="Arial" w:hAnsi="Arial"/>
                <w:b/>
                <w:bCs/>
                <w:color w:val="F5A623"/>
                <w:sz w:val="16"/>
                <w:szCs w:val="16"/>
              </w:rPr>
              <w:t xml:space="preserve">ADKAR/Prosci</w:t>
            </w:r>
          </w:p>
        </w:tc>
        <w:tc>
          <w:tcPr>
            <w:tcW w:type="dxa" w:w="3680"/>
            <w:tcBorders>
              <w:top w:val="single" w:color="E0E0E0" w:sz="1"/>
              <w:left w:val="single" w:color="E0E0E0" w:sz="1"/>
              <w:bottom w:val="single" w:color="E0E0E0" w:sz="1"/>
              <w:right w:val="single" w:color="E0E0E0" w:sz="1"/>
            </w:tcBorders>
            <w:shd w:fill="FFFFFF" w:val="clear"/>
            <w:tcMar>
              <w:top w:type="dxa" w:w="70"/>
              <w:left w:type="dxa" w:w="100"/>
              <w:bottom w:type="dxa" w:w="70"/>
              <w:right w:type="dxa" w:w="80"/>
            </w:tcMar>
          </w:tcPr>
          <w:p>
            <w:pPr>
              <w:spacing w:after="100" w:before="0"/>
              <w:jc w:val="left"/>
            </w:pPr>
            <w:r>
              <w:rPr>
                <w:rFonts w:ascii="Arial" w:cs="Arial" w:eastAsia="Arial" w:hAnsi="Arial"/>
                <w:b w:val="false"/>
                <w:bCs w:val="false"/>
                <w:color w:val="008F7A"/>
                <w:sz w:val="17"/>
                <w:szCs w:val="17"/>
              </w:rPr>
              <w:t xml:space="preserve">5%</w:t>
            </w:r>
          </w:p>
        </w:tc>
      </w:tr>
      <w:tr>
        <w:tc>
          <w:tcPr>
            <w:tcW w:type="dxa" w:w="480"/>
            <w:tcBorders>
              <w:top w:val="single" w:color="E0E0E0" w:sz="1"/>
              <w:left w:val="single" w:color="E0E0E0" w:sz="1"/>
              <w:bottom w:val="single" w:color="E0E0E0" w:sz="1"/>
              <w:right w:val="single" w:color="E0E0E0" w:sz="1"/>
            </w:tcBorders>
            <w:shd w:fill="1A5E8A" w:val="clear"/>
            <w:tcMar>
              <w:top w:type="dxa" w:w="70"/>
              <w:left w:type="dxa" w:w="60"/>
              <w:bottom w:type="dxa" w:w="70"/>
              <w:right w:type="dxa" w:w="60"/>
            </w:tcMar>
          </w:tcPr>
          <w:p>
            <w:pPr>
              <w:spacing w:after="100" w:before="0"/>
              <w:jc w:val="center"/>
            </w:pPr>
            <w:r>
              <w:rPr>
                <w:rFonts w:ascii="Arial" w:cs="Arial" w:eastAsia="Arial" w:hAnsi="Arial"/>
                <w:b/>
                <w:bCs/>
                <w:color w:val="FFFFFF"/>
                <w:sz w:val="17"/>
                <w:szCs w:val="17"/>
              </w:rPr>
              <w:t xml:space="preserve">13</w:t>
            </w:r>
          </w:p>
        </w:tc>
        <w:tc>
          <w:tcPr>
            <w:tcW w:type="dxa" w:w="3200"/>
            <w:tcBorders>
              <w:top w:val="single" w:color="E0E0E0" w:sz="1"/>
              <w:left w:val="single" w:color="E0E0E0" w:sz="1"/>
              <w:bottom w:val="single" w:color="E0E0E0" w:sz="1"/>
              <w:right w:val="single" w:color="E0E0E0" w:sz="1"/>
            </w:tcBorders>
            <w:shd w:fill="F5F5F5" w:val="clear"/>
            <w:tcMar>
              <w:top w:type="dxa" w:w="70"/>
              <w:left w:type="dxa" w:w="100"/>
              <w:bottom w:type="dxa" w:w="70"/>
              <w:right w:type="dxa" w:w="80"/>
            </w:tcMar>
          </w:tcPr>
          <w:p>
            <w:pPr>
              <w:spacing w:after="100" w:before="0"/>
              <w:jc w:val="left"/>
            </w:pPr>
            <w:r>
              <w:rPr>
                <w:rFonts w:ascii="Arial" w:cs="Arial" w:eastAsia="Arial" w:hAnsi="Arial"/>
                <w:b/>
                <w:bCs/>
                <w:color w:val="0D1B2A"/>
                <w:sz w:val="17"/>
                <w:szCs w:val="17"/>
              </w:rPr>
              <w:t xml:space="preserve">Plataforma e Industrialização de IA</w:t>
            </w:r>
          </w:p>
        </w:tc>
        <w:tc>
          <w:tcPr>
            <w:tcW w:type="dxa" w:w="20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80"/>
            </w:tcMar>
          </w:tcPr>
          <w:p>
            <w:pPr>
              <w:spacing w:after="100" w:before="0"/>
              <w:jc w:val="center"/>
            </w:pPr>
            <w:r>
              <w:rPr>
                <w:rFonts w:ascii="Arial" w:cs="Arial" w:eastAsia="Arial" w:hAnsi="Arial"/>
                <w:b/>
                <w:bCs/>
                <w:color w:val="0D1B2A"/>
                <w:sz w:val="16"/>
                <w:szCs w:val="16"/>
              </w:rPr>
              <w:t xml:space="preserve">MIT CISR</w:t>
            </w:r>
          </w:p>
        </w:tc>
        <w:tc>
          <w:tcPr>
            <w:tcW w:type="dxa" w:w="3680"/>
            <w:tcBorders>
              <w:top w:val="single" w:color="E0E0E0" w:sz="1"/>
              <w:left w:val="single" w:color="E0E0E0" w:sz="1"/>
              <w:bottom w:val="single" w:color="E0E0E0" w:sz="1"/>
              <w:right w:val="single" w:color="E0E0E0" w:sz="1"/>
            </w:tcBorders>
            <w:shd w:fill="F5F5F5" w:val="clear"/>
            <w:tcMar>
              <w:top w:type="dxa" w:w="70"/>
              <w:left w:type="dxa" w:w="100"/>
              <w:bottom w:type="dxa" w:w="70"/>
              <w:right w:type="dxa" w:w="80"/>
            </w:tcMar>
          </w:tcPr>
          <w:p>
            <w:pPr>
              <w:spacing w:after="100" w:before="0"/>
              <w:jc w:val="left"/>
            </w:pPr>
            <w:r>
              <w:rPr>
                <w:rFonts w:ascii="Arial" w:cs="Arial" w:eastAsia="Arial" w:hAnsi="Arial"/>
                <w:b w:val="false"/>
                <w:bCs w:val="false"/>
                <w:color w:val="008F7A"/>
                <w:sz w:val="17"/>
                <w:szCs w:val="17"/>
              </w:rPr>
              <w:t xml:space="preserve">7%</w:t>
            </w:r>
          </w:p>
        </w:tc>
      </w:tr>
      <w:tr>
        <w:tc>
          <w:tcPr>
            <w:tcW w:type="dxa" w:w="480"/>
            <w:tcBorders>
              <w:top w:val="single" w:color="E0E0E0" w:sz="1"/>
              <w:left w:val="single" w:color="E0E0E0" w:sz="1"/>
              <w:bottom w:val="single" w:color="E0E0E0" w:sz="1"/>
              <w:right w:val="single" w:color="E0E0E0" w:sz="1"/>
            </w:tcBorders>
            <w:shd w:fill="1E8449" w:val="clear"/>
            <w:tcMar>
              <w:top w:type="dxa" w:w="70"/>
              <w:left w:type="dxa" w:w="60"/>
              <w:bottom w:type="dxa" w:w="70"/>
              <w:right w:type="dxa" w:w="60"/>
            </w:tcMar>
          </w:tcPr>
          <w:p>
            <w:pPr>
              <w:spacing w:after="100" w:before="0"/>
              <w:jc w:val="center"/>
            </w:pPr>
            <w:r>
              <w:rPr>
                <w:rFonts w:ascii="Arial" w:cs="Arial" w:eastAsia="Arial" w:hAnsi="Arial"/>
                <w:b/>
                <w:bCs/>
                <w:color w:val="FFFFFF"/>
                <w:sz w:val="17"/>
                <w:szCs w:val="17"/>
              </w:rPr>
              <w:t xml:space="preserve">14</w:t>
            </w:r>
          </w:p>
        </w:tc>
        <w:tc>
          <w:tcPr>
            <w:tcW w:type="dxa" w:w="3200"/>
            <w:tcBorders>
              <w:top w:val="single" w:color="E0E0E0" w:sz="1"/>
              <w:left w:val="single" w:color="E0E0E0" w:sz="1"/>
              <w:bottom w:val="single" w:color="E0E0E0" w:sz="1"/>
              <w:right w:val="single" w:color="E0E0E0" w:sz="1"/>
            </w:tcBorders>
            <w:shd w:fill="FFFFFF" w:val="clear"/>
            <w:tcMar>
              <w:top w:type="dxa" w:w="70"/>
              <w:left w:type="dxa" w:w="100"/>
              <w:bottom w:type="dxa" w:w="70"/>
              <w:right w:type="dxa" w:w="80"/>
            </w:tcMar>
          </w:tcPr>
          <w:p>
            <w:pPr>
              <w:spacing w:after="100" w:before="0"/>
              <w:jc w:val="left"/>
            </w:pPr>
            <w:r>
              <w:rPr>
                <w:rFonts w:ascii="Arial" w:cs="Arial" w:eastAsia="Arial" w:hAnsi="Arial"/>
                <w:b/>
                <w:bCs/>
                <w:color w:val="0D1B2A"/>
                <w:sz w:val="17"/>
                <w:szCs w:val="17"/>
              </w:rPr>
              <w:t xml:space="preserve">IA como Gerador de Receita</w:t>
            </w:r>
          </w:p>
        </w:tc>
        <w:tc>
          <w:tcPr>
            <w:tcW w:type="dxa" w:w="20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80"/>
            </w:tcMar>
          </w:tcPr>
          <w:p>
            <w:pPr>
              <w:spacing w:after="100" w:before="0"/>
              <w:jc w:val="center"/>
            </w:pPr>
            <w:r>
              <w:rPr>
                <w:rFonts w:ascii="Arial" w:cs="Arial" w:eastAsia="Arial" w:hAnsi="Arial"/>
                <w:b/>
                <w:bCs/>
                <w:color w:val="0D1B2A"/>
                <w:sz w:val="16"/>
                <w:szCs w:val="16"/>
              </w:rPr>
              <w:t xml:space="preserve">MIT CISR</w:t>
            </w:r>
          </w:p>
        </w:tc>
        <w:tc>
          <w:tcPr>
            <w:tcW w:type="dxa" w:w="3680"/>
            <w:tcBorders>
              <w:top w:val="single" w:color="E0E0E0" w:sz="1"/>
              <w:left w:val="single" w:color="E0E0E0" w:sz="1"/>
              <w:bottom w:val="single" w:color="E0E0E0" w:sz="1"/>
              <w:right w:val="single" w:color="E0E0E0" w:sz="1"/>
            </w:tcBorders>
            <w:shd w:fill="FFFFFF" w:val="clear"/>
            <w:tcMar>
              <w:top w:type="dxa" w:w="70"/>
              <w:left w:type="dxa" w:w="100"/>
              <w:bottom w:type="dxa" w:w="70"/>
              <w:right w:type="dxa" w:w="80"/>
            </w:tcMar>
          </w:tcPr>
          <w:p>
            <w:pPr>
              <w:spacing w:after="100" w:before="0"/>
              <w:jc w:val="left"/>
            </w:pPr>
            <w:r>
              <w:rPr>
                <w:rFonts w:ascii="Arial" w:cs="Arial" w:eastAsia="Arial" w:hAnsi="Arial"/>
                <w:b w:val="false"/>
                <w:bCs w:val="false"/>
                <w:color w:val="008F7A"/>
                <w:sz w:val="17"/>
                <w:szCs w:val="17"/>
              </w:rPr>
              <w:t xml:space="preserve">7%</w:t>
            </w:r>
          </w:p>
        </w:tc>
      </w:tr>
      <w:tr>
        <w:tc>
          <w:tcPr>
            <w:tcW w:type="dxa" w:w="480"/>
            <w:tcBorders>
              <w:top w:val="single" w:color="E0E0E0" w:sz="1"/>
              <w:left w:val="single" w:color="E0E0E0" w:sz="1"/>
              <w:bottom w:val="single" w:color="E0E0E0" w:sz="1"/>
              <w:right w:val="single" w:color="E0E0E0" w:sz="1"/>
            </w:tcBorders>
            <w:shd w:fill="008F7A" w:val="clear"/>
            <w:tcMar>
              <w:top w:type="dxa" w:w="70"/>
              <w:left w:type="dxa" w:w="60"/>
              <w:bottom w:type="dxa" w:w="70"/>
              <w:right w:type="dxa" w:w="60"/>
            </w:tcMar>
          </w:tcPr>
          <w:p>
            <w:pPr>
              <w:spacing w:after="100" w:before="0"/>
              <w:jc w:val="center"/>
            </w:pPr>
            <w:r>
              <w:rPr>
                <w:rFonts w:ascii="Arial" w:cs="Arial" w:eastAsia="Arial" w:hAnsi="Arial"/>
                <w:b/>
                <w:bCs/>
                <w:color w:val="FFFFFF"/>
                <w:sz w:val="17"/>
                <w:szCs w:val="17"/>
              </w:rPr>
              <w:t xml:space="preserve">15</w:t>
            </w:r>
          </w:p>
        </w:tc>
        <w:tc>
          <w:tcPr>
            <w:tcW w:type="dxa" w:w="3200"/>
            <w:tcBorders>
              <w:top w:val="single" w:color="E0E0E0" w:sz="1"/>
              <w:left w:val="single" w:color="E0E0E0" w:sz="1"/>
              <w:bottom w:val="single" w:color="E0E0E0" w:sz="1"/>
              <w:right w:val="single" w:color="E0E0E0" w:sz="1"/>
            </w:tcBorders>
            <w:shd w:fill="F5F5F5" w:val="clear"/>
            <w:tcMar>
              <w:top w:type="dxa" w:w="70"/>
              <w:left w:type="dxa" w:w="100"/>
              <w:bottom w:type="dxa" w:w="70"/>
              <w:right w:type="dxa" w:w="80"/>
            </w:tcMar>
          </w:tcPr>
          <w:p>
            <w:pPr>
              <w:spacing w:after="100" w:before="0"/>
              <w:jc w:val="left"/>
            </w:pPr>
            <w:r>
              <w:rPr>
                <w:rFonts w:ascii="Arial" w:cs="Arial" w:eastAsia="Arial" w:hAnsi="Arial"/>
                <w:b/>
                <w:bCs/>
                <w:color w:val="0D1B2A"/>
                <w:sz w:val="17"/>
                <w:szCs w:val="17"/>
              </w:rPr>
              <w:t xml:space="preserve">Maturidade por Tipo de IA</w:t>
            </w:r>
          </w:p>
        </w:tc>
        <w:tc>
          <w:tcPr>
            <w:tcW w:type="dxa" w:w="20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80"/>
            </w:tcMar>
          </w:tcPr>
          <w:p>
            <w:pPr>
              <w:spacing w:after="100" w:before="0"/>
              <w:jc w:val="center"/>
            </w:pPr>
            <w:r>
              <w:rPr>
                <w:rFonts w:ascii="Arial" w:cs="Arial" w:eastAsia="Arial" w:hAnsi="Arial"/>
                <w:b/>
                <w:bCs/>
                <w:color w:val="0D1B2A"/>
                <w:sz w:val="16"/>
                <w:szCs w:val="16"/>
              </w:rPr>
              <w:t xml:space="preserve">MIT CISR</w:t>
            </w:r>
          </w:p>
        </w:tc>
        <w:tc>
          <w:tcPr>
            <w:tcW w:type="dxa" w:w="3680"/>
            <w:tcBorders>
              <w:top w:val="single" w:color="E0E0E0" w:sz="1"/>
              <w:left w:val="single" w:color="E0E0E0" w:sz="1"/>
              <w:bottom w:val="single" w:color="E0E0E0" w:sz="1"/>
              <w:right w:val="single" w:color="E0E0E0" w:sz="1"/>
            </w:tcBorders>
            <w:shd w:fill="F5F5F5" w:val="clear"/>
            <w:tcMar>
              <w:top w:type="dxa" w:w="70"/>
              <w:left w:type="dxa" w:w="100"/>
              <w:bottom w:type="dxa" w:w="70"/>
              <w:right w:type="dxa" w:w="80"/>
            </w:tcMar>
          </w:tcPr>
          <w:p>
            <w:pPr>
              <w:spacing w:after="100" w:before="0"/>
              <w:jc w:val="left"/>
            </w:pPr>
            <w:r>
              <w:rPr>
                <w:rFonts w:ascii="Arial" w:cs="Arial" w:eastAsia="Arial" w:hAnsi="Arial"/>
                <w:b w:val="false"/>
                <w:bCs w:val="false"/>
                <w:color w:val="008F7A"/>
                <w:sz w:val="17"/>
                <w:szCs w:val="17"/>
              </w:rPr>
              <w:t xml:space="preserve">8%</w:t>
            </w:r>
          </w:p>
        </w:tc>
      </w:tr>
      <w:tr>
        <w:tc>
          <w:tcPr>
            <w:tcW w:type="dxa" w:w="480"/>
            <w:tcBorders>
              <w:top w:val="single" w:color="E0E0E0" w:sz="1"/>
              <w:left w:val="single" w:color="E0E0E0" w:sz="1"/>
              <w:bottom w:val="single" w:color="E0E0E0" w:sz="1"/>
              <w:right w:val="single" w:color="E0E0E0" w:sz="1"/>
            </w:tcBorders>
            <w:shd w:fill="0D1B2A" w:val="clear"/>
            <w:tcMar>
              <w:top w:type="dxa" w:w="70"/>
              <w:left w:type="dxa" w:w="60"/>
              <w:bottom w:type="dxa" w:w="70"/>
              <w:right w:type="dxa" w:w="60"/>
            </w:tcMar>
          </w:tcPr>
          <w:p>
            <w:pPr>
              <w:spacing w:after="100" w:before="0"/>
              <w:jc w:val="center"/>
            </w:pPr>
            <w:r>
              <w:rPr>
                <w:rFonts w:ascii="Arial" w:cs="Arial" w:eastAsia="Arial" w:hAnsi="Arial"/>
                <w:b/>
                <w:bCs/>
                <w:color w:val="FFFFFF"/>
                <w:sz w:val="17"/>
                <w:szCs w:val="17"/>
              </w:rPr>
              <w:t xml:space="preserve">16</w:t>
            </w:r>
          </w:p>
        </w:tc>
        <w:tc>
          <w:tcPr>
            <w:tcW w:type="dxa" w:w="3200"/>
            <w:tcBorders>
              <w:top w:val="single" w:color="E0E0E0" w:sz="1"/>
              <w:left w:val="single" w:color="E0E0E0" w:sz="1"/>
              <w:bottom w:val="single" w:color="E0E0E0" w:sz="1"/>
              <w:right w:val="single" w:color="E0E0E0" w:sz="1"/>
            </w:tcBorders>
            <w:shd w:fill="FFFFFF" w:val="clear"/>
            <w:tcMar>
              <w:top w:type="dxa" w:w="70"/>
              <w:left w:type="dxa" w:w="100"/>
              <w:bottom w:type="dxa" w:w="70"/>
              <w:right w:type="dxa" w:w="80"/>
            </w:tcMar>
          </w:tcPr>
          <w:p>
            <w:pPr>
              <w:spacing w:after="100" w:before="0"/>
              <w:jc w:val="left"/>
            </w:pPr>
            <w:r>
              <w:rPr>
                <w:rFonts w:ascii="Arial" w:cs="Arial" w:eastAsia="Arial" w:hAnsi="Arial"/>
                <w:b/>
                <w:bCs/>
                <w:color w:val="0D1B2A"/>
                <w:sz w:val="17"/>
                <w:szCs w:val="17"/>
              </w:rPr>
              <w:t xml:space="preserve">Eficácia de IA (MIT CISR)</w:t>
            </w:r>
          </w:p>
        </w:tc>
        <w:tc>
          <w:tcPr>
            <w:tcW w:type="dxa" w:w="20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80"/>
            </w:tcMar>
          </w:tcPr>
          <w:p>
            <w:pPr>
              <w:spacing w:after="100" w:before="0"/>
              <w:jc w:val="center"/>
            </w:pPr>
            <w:r>
              <w:rPr>
                <w:rFonts w:ascii="Arial" w:cs="Arial" w:eastAsia="Arial" w:hAnsi="Arial"/>
                <w:b/>
                <w:bCs/>
                <w:color w:val="0D1B2A"/>
                <w:sz w:val="16"/>
                <w:szCs w:val="16"/>
              </w:rPr>
              <w:t xml:space="preserve">MIT CISR</w:t>
            </w:r>
          </w:p>
        </w:tc>
        <w:tc>
          <w:tcPr>
            <w:tcW w:type="dxa" w:w="3680"/>
            <w:tcBorders>
              <w:top w:val="single" w:color="E0E0E0" w:sz="1"/>
              <w:left w:val="single" w:color="E0E0E0" w:sz="1"/>
              <w:bottom w:val="single" w:color="E0E0E0" w:sz="1"/>
              <w:right w:val="single" w:color="E0E0E0" w:sz="1"/>
            </w:tcBorders>
            <w:shd w:fill="FFFFFF" w:val="clear"/>
            <w:tcMar>
              <w:top w:type="dxa" w:w="70"/>
              <w:left w:type="dxa" w:w="100"/>
              <w:bottom w:type="dxa" w:w="70"/>
              <w:right w:type="dxa" w:w="80"/>
            </w:tcMar>
          </w:tcPr>
          <w:p>
            <w:pPr>
              <w:spacing w:after="100" w:before="0"/>
              <w:jc w:val="left"/>
            </w:pPr>
            <w:r>
              <w:rPr>
                <w:rFonts w:ascii="Arial" w:cs="Arial" w:eastAsia="Arial" w:hAnsi="Arial"/>
                <w:b w:val="false"/>
                <w:bCs w:val="false"/>
                <w:color w:val="008F7A"/>
                <w:sz w:val="17"/>
                <w:szCs w:val="17"/>
              </w:rPr>
              <w:t xml:space="preserve">8%</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none" w:color="FFFFFF" w:sz="0"/>
              <w:left w:val="none" w:color="FFFFFF" w:sz="0"/>
              <w:bottom w:val="none" w:color="FFFFFF" w:sz="0"/>
              <w:right w:val="none" w:color="FFFFFF" w:sz="0"/>
            </w:tcBorders>
            <w:shd w:fill="0D1B2A" w:val="clear"/>
            <w:tcMar>
              <w:top w:type="dxa" w:w="120"/>
              <w:left w:type="dxa" w:w="100"/>
              <w:bottom w:type="dxa" w:w="120"/>
              <w:right w:type="dxa" w:w="80"/>
            </w:tcMar>
          </w:tcPr>
          <w:p>
            <w:pPr>
              <w:spacing w:after="100" w:before="0"/>
              <w:jc w:val="center"/>
            </w:pPr>
            <w:r>
              <w:rPr>
                <w:rFonts w:ascii="Arial" w:cs="Arial" w:eastAsia="Arial" w:hAnsi="Arial"/>
                <w:b/>
                <w:bCs/>
                <w:color w:val="FFFFFF"/>
                <w:sz w:val="28"/>
                <w:szCs w:val="28"/>
              </w:rPr>
              <w:t xml:space="preserve">D1</w:t>
            </w:r>
          </w:p>
        </w:tc>
        <w:tc>
          <w:tcPr>
            <w:tcW w:type="dxa" w:w="7560"/>
            <w:tcBorders>
              <w:top w:val="none" w:color="FFFFFF" w:sz="0"/>
              <w:left w:val="none" w:color="FFFFFF" w:sz="0"/>
              <w:bottom w:val="none" w:color="FFFFFF" w:sz="0"/>
              <w:right w:val="none" w:color="FFFFFF" w:sz="0"/>
            </w:tcBorders>
            <w:shd w:fill="0D1B2A" w:val="clear"/>
            <w:tcMar>
              <w:top w:type="dxa" w:w="100"/>
              <w:left w:type="dxa" w:w="140"/>
              <w:bottom w:type="dxa" w:w="100"/>
              <w:right w:type="dxa" w:w="100"/>
            </w:tcMar>
          </w:tcPr>
          <w:p>
            <w:pPr>
              <w:spacing w:after="100" w:before="0"/>
              <w:jc w:val="left"/>
            </w:pPr>
            <w:r>
              <w:rPr>
                <w:rFonts w:ascii="Arial" w:cs="Arial" w:eastAsia="Arial" w:hAnsi="Arial"/>
                <w:b/>
                <w:bCs/>
                <w:color w:val="FFFFFF"/>
                <w:sz w:val="26"/>
                <w:szCs w:val="26"/>
              </w:rPr>
              <w:t xml:space="preserve">Estratégia e Liderança</w:t>
            </w:r>
          </w:p>
        </w:tc>
        <w:tc>
          <w:tcPr>
            <w:tcW w:type="dxa" w:w="1000"/>
            <w:tcBorders>
              <w:top w:val="none" w:color="FFFFFF" w:sz="0"/>
              <w:left w:val="none" w:color="FFFFFF" w:sz="0"/>
              <w:bottom w:val="none" w:color="FFFFFF" w:sz="0"/>
              <w:right w:val="none" w:color="FFFFFF" w:sz="0"/>
            </w:tcBorders>
            <w:shd w:fill="008F7A" w:val="clear"/>
            <w:tcMar>
              <w:top w:type="dxa" w:w="100"/>
              <w:left w:type="dxa" w:w="80"/>
              <w:bottom w:type="dxa" w:w="100"/>
              <w:right w:type="dxa" w:w="80"/>
            </w:tcMar>
          </w:tcPr>
          <w:p>
            <w:pPr>
              <w:spacing w:after="100" w:before="0"/>
              <w:jc w:val="center"/>
            </w:pPr>
            <w:r>
              <w:rPr>
                <w:rFonts w:ascii="Arial" w:cs="Arial" w:eastAsia="Arial" w:hAnsi="Arial"/>
                <w:b w:val="false"/>
                <w:bCs w:val="false"/>
                <w:color w:val="E0F5F1"/>
                <w:sz w:val="13"/>
                <w:szCs w:val="13"/>
              </w:rPr>
              <w:t xml:space="preserve">Peso</w:t>
            </w:r>
            <w:r>
              <w:rPr>
                <w:rFonts w:ascii="Arial" w:cs="Arial" w:eastAsia="Arial" w:hAnsi="Arial"/>
                <w:b/>
                <w:bCs/>
                <w:color w:val="FFFFFF"/>
                <w:sz w:val="22"/>
                <w:szCs w:val="22"/>
              </w:rPr>
              <w:t xml:space="preserve"> 8%</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D1B2A" w:val="clear"/>
            <w:tcMar>
              <w:top w:type="dxa" w:w="70"/>
              <w:left w:type="dxa" w:w="100"/>
              <w:bottom w:type="dxa" w:w="70"/>
              <w:right w:type="dxa" w:w="80"/>
            </w:tcMar>
          </w:tcPr>
          <w:p>
            <w:pPr>
              <w:spacing w:after="100" w:before="0"/>
              <w:jc w:val="center"/>
            </w:pPr>
            <w:r>
              <w:rPr>
                <w:rFonts w:ascii="Arial" w:cs="Arial" w:eastAsia="Arial" w:hAnsi="Arial"/>
                <w:b/>
                <w:bCs/>
                <w:color w:val="FFFFFF"/>
                <w:sz w:val="17"/>
                <w:szCs w:val="17"/>
              </w:rPr>
              <w:t xml:space="preserve">MIT CISR</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8F7A" w:val="clear"/>
            <w:tcMar>
              <w:top w:type="dxa" w:w="70"/>
              <w:left w:type="dxa" w:w="80"/>
              <w:bottom w:type="dxa" w:w="70"/>
              <w:right w:type="dxa" w:w="60"/>
            </w:tcMar>
          </w:tcPr>
          <w:p>
            <w:pPr>
              <w:spacing w:after="100" w:before="0"/>
              <w:jc w:val="center"/>
            </w:pPr>
            <w:r>
              <w:rPr>
                <w:rFonts w:ascii="Arial" w:cs="Arial" w:eastAsia="Arial" w:hAnsi="Arial"/>
                <w:b/>
                <w:bCs/>
                <w:color w:val="FFFFFF"/>
                <w:sz w:val="14"/>
                <w:szCs w:val="14"/>
              </w:rPr>
              <w:t xml:space="preserve">MIT</w:t>
            </w:r>
          </w:p>
        </w:tc>
        <w:tc>
          <w:tcPr>
            <w:tcW w:type="dxa" w:w="8960"/>
            <w:tcBorders>
              <w:top w:val="none" w:color="FFFFFF" w:sz="0"/>
              <w:left w:val="none" w:color="FFFFFF" w:sz="0"/>
              <w:bottom w:val="none" w:color="FFFFFF" w:sz="0"/>
              <w:right w:val="none" w:color="FFFFFF" w:sz="0"/>
            </w:tcBorders>
            <w:shd w:fill="E0F5F1" w:val="clear"/>
            <w:tcMar>
              <w:top w:type="dxa" w:w="70"/>
              <w:left w:type="dxa" w:w="120"/>
              <w:bottom w:type="dxa" w:w="70"/>
              <w:right w:type="dxa" w:w="100"/>
            </w:tcMar>
          </w:tcPr>
          <w:p>
            <w:pPr>
              <w:spacing w:after="100" w:before="0"/>
              <w:jc w:val="left"/>
            </w:pPr>
            <w:r>
              <w:rPr>
                <w:rFonts w:ascii="Arial" w:cs="Arial" w:eastAsia="Arial" w:hAnsi="Arial"/>
                <w:b/>
                <w:bCs/>
                <w:color w:val="008F7A"/>
                <w:sz w:val="17"/>
                <w:szCs w:val="17"/>
              </w:rPr>
              <w:t xml:space="preserve">Condição de entrada para o Estágio 2 → 3. Sem estratégia documentada e patrocínio de C-Level, a organização não consegue sair do estágio Oportunista.</w:t>
            </w:r>
          </w:p>
        </w:tc>
      </w:tr>
    </w:tbl>
    <w:p>
      <w:pPr>
        <w:spacing w:after="0" w:before="80"/>
      </w:pPr>
      <w:r>
        <w:rPr>
          <w:sz w:val="2"/>
          <w:szCs w:val="2"/>
        </w:rPr>
        <w:t xml:space="preserve"/>
      </w:r>
    </w:p>
    <w:p>
      <w:pPr>
        <w:pStyle w:val="Heading2"/>
        <w:spacing w:after="80" w:before="160"/>
      </w:pPr>
      <w:r>
        <w:rPr>
          <w:rFonts w:ascii="Arial" w:cs="Arial" w:eastAsia="Arial" w:hAnsi="Arial"/>
        </w:rPr>
        <w:t xml:space="preserve">De onde veio esta dimensão</w:t>
      </w:r>
    </w:p>
    <w:p>
      <w:pPr>
        <w:spacing w:after="120" w:before="0"/>
        <w:jc w:val="left"/>
      </w:pPr>
      <w:r>
        <w:rPr>
          <w:rFonts w:ascii="Arial" w:cs="Arial" w:eastAsia="Arial" w:hAnsi="Arial"/>
          <w:b w:val="false"/>
          <w:bCs w:val="false"/>
          <w:color w:val="0D1B2A"/>
          <w:sz w:val="20"/>
          <w:szCs w:val="20"/>
        </w:rPr>
        <w:t xml:space="preserve">O MIT CISR (Weill, Woerner &amp; Sebastian, 2024) identificou que o fator mais crítico para a progressão entre estágios de maturidade é o patrocínio executivo e a existência de uma estratégia formal de IA. Empresas no Estágio 1 operam por iniciativa de entusiastas individuais; a passagem para o Estágio 2 exige que a liderança tome posse da agenda de IA. Esta dimensão operacionaliza esse critério de progressão em 6 critérios mensuráveis.</w:t>
      </w:r>
    </w:p>
    <w:p>
      <w:pPr>
        <w:pStyle w:val="Heading2"/>
        <w:spacing w:after="80" w:before="160"/>
      </w:pPr>
      <w:r>
        <w:rPr>
          <w:rFonts w:ascii="Arial" w:cs="Arial" w:eastAsia="Arial" w:hAnsi="Arial"/>
        </w:rPr>
        <w:t xml:space="preserve">Critérios avaliados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Existência e qualidade da estratégia de IA documentada</w:t>
            </w:r>
          </w:p>
          <w:p>
            <w:pPr>
              <w:pStyle w:val="ListParagraph"/>
              <w:numPr>
                <w:ilvl w:val="0"/>
                <w:numId w:val="2"/>
              </w:numPr>
              <w:spacing w:after="30" w:before="30"/>
            </w:pPr>
            <w:r>
              <w:rPr>
                <w:rFonts w:ascii="Arial" w:cs="Arial" w:eastAsia="Arial" w:hAnsi="Arial"/>
                <w:b w:val="false"/>
                <w:bCs w:val="false"/>
                <w:color w:val="0D1B2A"/>
                <w:sz w:val="18"/>
                <w:szCs w:val="18"/>
              </w:rPr>
              <w:t xml:space="preserve">Nível de engajamento do C-Level (CEO, CTO, CDO, CAO)</w:t>
            </w:r>
          </w:p>
          <w:p>
            <w:pPr>
              <w:pStyle w:val="ListParagraph"/>
              <w:numPr>
                <w:ilvl w:val="0"/>
                <w:numId w:val="2"/>
              </w:numPr>
              <w:spacing w:after="30" w:before="30"/>
            </w:pPr>
            <w:r>
              <w:rPr>
                <w:rFonts w:ascii="Arial" w:cs="Arial" w:eastAsia="Arial" w:hAnsi="Arial"/>
                <w:b w:val="false"/>
                <w:bCs w:val="false"/>
                <w:color w:val="0D1B2A"/>
                <w:sz w:val="18"/>
                <w:szCs w:val="18"/>
              </w:rPr>
              <w:t xml:space="preserve">Orçamento dedicado e previsibilidade de investimento</w:t>
            </w:r>
          </w:p>
        </w:tc>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Presença de liderança formal: Chief AI Officer ou equivalente</w:t>
            </w:r>
          </w:p>
          <w:p>
            <w:pPr>
              <w:pStyle w:val="ListParagraph"/>
              <w:numPr>
                <w:ilvl w:val="0"/>
                <w:numId w:val="2"/>
              </w:numPr>
              <w:spacing w:after="30" w:before="30"/>
            </w:pPr>
            <w:r>
              <w:rPr>
                <w:rFonts w:ascii="Arial" w:cs="Arial" w:eastAsia="Arial" w:hAnsi="Arial"/>
                <w:b w:val="false"/>
                <w:bCs w:val="false"/>
                <w:color w:val="0D1B2A"/>
                <w:sz w:val="18"/>
                <w:szCs w:val="18"/>
              </w:rPr>
              <w:t xml:space="preserve">Roadmap de médio e longo prazo (18–36 meses)</w:t>
            </w:r>
          </w:p>
          <w:p>
            <w:pPr>
              <w:pStyle w:val="ListParagraph"/>
              <w:numPr>
                <w:ilvl w:val="0"/>
                <w:numId w:val="2"/>
              </w:numPr>
              <w:spacing w:after="30" w:before="30"/>
            </w:pPr>
            <w:r>
              <w:rPr>
                <w:rFonts w:ascii="Arial" w:cs="Arial" w:eastAsia="Arial" w:hAnsi="Arial"/>
                <w:b w:val="false"/>
                <w:bCs w:val="false"/>
                <w:color w:val="0D1B2A"/>
                <w:sz w:val="18"/>
                <w:szCs w:val="18"/>
              </w:rPr>
              <w:t xml:space="preserve">Métricas de sucesso definidas e acompanhadas</w:t>
            </w:r>
          </w:p>
        </w:tc>
      </w:tr>
    </w:tbl>
    <w:p>
      <w:pPr>
        <w:spacing w:after="0" w:before="80"/>
      </w:pPr>
      <w:r>
        <w:rPr>
          <w:sz w:val="2"/>
          <w:szCs w:val="2"/>
        </w:rPr>
        <w:t xml:space="preserve"/>
      </w:r>
    </w:p>
    <w:p>
      <w:pPr>
        <w:pStyle w:val="Heading2"/>
        <w:spacing w:after="80" w:before="160"/>
      </w:pPr>
      <w:r>
        <w:rPr>
          <w:rFonts w:ascii="Arial" w:cs="Arial" w:eastAsia="Arial" w:hAnsi="Arial"/>
        </w:rPr>
        <w:t xml:space="preserve">Por que esta dimensão importa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008F7A" w:val="clear"/>
            <w:tcMar>
              <w:top w:type="dxa" w:w="80"/>
              <w:left w:type="dxa" w:w="60"/>
              <w:bottom w:type="dxa" w:w="80"/>
              <w:right w:type="dxa" w:w="40"/>
            </w:tcMar>
          </w:tcPr>
          <w:p>
            <w:pPr>
              <w:spacing w:after="100" w:before="0"/>
              <w:jc w:val="left"/>
            </w:pPr>
            <w:r>
              <w:rPr>
                <w:rFonts w:ascii="Arial" w:cs="Arial" w:eastAsia="Arial" w:hAnsi="Arial"/>
                <w:b w:val="false"/>
                <w:bCs w:val="false"/>
                <w:color w:val="0D1B2A"/>
                <w:sz w:val="20"/>
                <w:szCs w:val="20"/>
              </w:rPr>
              <w:t xml:space="preserve"> </w:t>
            </w:r>
          </w:p>
        </w:tc>
        <w:tc>
          <w:tcPr>
            <w:tcW w:type="dxa" w:w="9220"/>
            <w:tcBorders>
              <w:top w:val="none" w:color="FFFFFF" w:sz="0"/>
              <w:left w:val="none" w:color="FFFFFF" w:sz="0"/>
              <w:bottom w:val="none" w:color="FFFFFF" w:sz="0"/>
              <w:right w:val="none" w:color="FFFFFF" w:sz="0"/>
            </w:tcBorders>
            <w:shd w:fill="E0F5F1" w:val="clear"/>
            <w:tcMar>
              <w:top w:type="dxa" w:w="100"/>
              <w:left w:type="dxa" w:w="140"/>
              <w:bottom w:type="dxa" w:w="100"/>
              <w:right w:type="dxa" w:w="120"/>
            </w:tcMar>
          </w:tcPr>
          <w:p>
            <w:pPr>
              <w:spacing w:after="100" w:before="0"/>
              <w:jc w:val="left"/>
            </w:pPr>
            <w:r>
              <w:rPr>
                <w:rFonts w:ascii="Arial" w:cs="Arial" w:eastAsia="Arial" w:hAnsi="Arial"/>
                <w:b w:val="false"/>
                <w:bCs w:val="false"/>
                <w:color w:val="0D1B2A"/>
                <w:sz w:val="18"/>
                <w:szCs w:val="18"/>
              </w:rPr>
              <w:t xml:space="preserve">Sem direção estratégica clara e patrocínio executivo, iniciativas de IA permanecem fragmentadas, subfinanciadas e incapazes de escalar. É o motor que mantém todas as outras dimensões em movimento.</w:t>
            </w:r>
          </w:p>
        </w:tc>
      </w:tr>
    </w:tbl>
    <w:p>
      <w:pPr>
        <w:spacing w:after="0" w:before="80"/>
      </w:pPr>
      <w:r>
        <w:rPr>
          <w:sz w:val="2"/>
          <w:szCs w:val="2"/>
        </w:rPr>
        <w:t xml:space="preserve"/>
      </w:r>
    </w:p>
    <w:p>
      <w:pPr>
        <w:pStyle w:val="Heading2"/>
        <w:spacing w:after="80" w:before="160"/>
      </w:pPr>
      <w:r>
        <w:rPr>
          <w:rFonts w:ascii="Arial" w:cs="Arial" w:eastAsia="Arial" w:hAnsi="Arial"/>
        </w:rPr>
        <w:t xml:space="preserve">O que queremos mostrar ao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5A623" w:val="clear"/>
            <w:tcMar>
              <w:top w:type="dxa" w:w="80"/>
              <w:left w:type="dxa" w:w="60"/>
              <w:bottom w:type="dxa" w:w="80"/>
              <w:right w:type="dxa" w:w="40"/>
            </w:tcMar>
          </w:tcPr>
          <w:p>
            <w:pPr>
              <w:spacing w:after="100" w:before="0"/>
              <w:jc w:val="center"/>
            </w:pPr>
            <w:r>
              <w:rPr>
                <w:rFonts w:ascii="Arial" w:cs="Arial" w:eastAsia="Arial" w:hAnsi="Arial"/>
                <w:b/>
                <w:bCs/>
                <w:color w:val="FFFFFF"/>
                <w:sz w:val="20"/>
                <w:szCs w:val="20"/>
              </w:rPr>
              <w:t xml:space="preserve">!</w:t>
            </w:r>
          </w:p>
        </w:tc>
        <w:tc>
          <w:tcPr>
            <w:tcW w:type="dxa" w:w="9160"/>
            <w:tcBorders>
              <w:top w:val="none" w:color="FFFFFF" w:sz="0"/>
              <w:left w:val="none" w:color="FFFFFF" w:sz="0"/>
              <w:bottom w:val="none" w:color="FFFFFF" w:sz="0"/>
              <w:right w:val="none" w:color="FFFFFF" w:sz="0"/>
            </w:tcBorders>
            <w:shd w:fill="FFF8EC" w:val="clear"/>
            <w:tcMar>
              <w:top w:type="dxa" w:w="90"/>
              <w:left w:type="dxa" w:w="140"/>
              <w:bottom w:type="dxa" w:w="90"/>
              <w:right w:type="dxa" w:w="120"/>
            </w:tcMar>
          </w:tcPr>
          <w:p>
            <w:pPr>
              <w:spacing w:after="100" w:before="0"/>
              <w:jc w:val="left"/>
            </w:pPr>
            <w:r>
              <w:rPr>
                <w:rFonts w:ascii="Arial" w:cs="Arial" w:eastAsia="Arial" w:hAnsi="Arial"/>
                <w:b w:val="false"/>
                <w:bCs w:val="false"/>
                <w:color w:val="0D1B2A"/>
                <w:sz w:val="18"/>
                <w:szCs w:val="18"/>
              </w:rPr>
              <w:t xml:space="preserve">Mostrar se a empresa tem IA como pauta estratégica de liderança ou como projeto periférico de TI. Uma empresa com score baixo aqui tipicamente tem iniciativas dispersas, sem orçamento garantido e sem um responsável claro — independente do quanto investe em tecnologia.</w:t>
            </w:r>
          </w:p>
        </w:tc>
      </w:tr>
    </w:tbl>
    <w:p>
      <w:pPr>
        <w:spacing w:after="0" w:before="80"/>
      </w:pPr>
      <w:r>
        <w:rPr>
          <w:sz w:val="2"/>
          <w:szCs w:val="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none" w:color="FFFFFF" w:sz="0"/>
              <w:left w:val="none" w:color="FFFFFF" w:sz="0"/>
              <w:bottom w:val="none" w:color="FFFFFF" w:sz="0"/>
              <w:right w:val="none" w:color="FFFFFF" w:sz="0"/>
            </w:tcBorders>
            <w:shd w:fill="1A5E8A" w:val="clear"/>
            <w:tcMar>
              <w:top w:type="dxa" w:w="120"/>
              <w:left w:type="dxa" w:w="100"/>
              <w:bottom w:type="dxa" w:w="120"/>
              <w:right w:type="dxa" w:w="80"/>
            </w:tcMar>
          </w:tcPr>
          <w:p>
            <w:pPr>
              <w:spacing w:after="100" w:before="0"/>
              <w:jc w:val="center"/>
            </w:pPr>
            <w:r>
              <w:rPr>
                <w:rFonts w:ascii="Arial" w:cs="Arial" w:eastAsia="Arial" w:hAnsi="Arial"/>
                <w:b/>
                <w:bCs/>
                <w:color w:val="FFFFFF"/>
                <w:sz w:val="28"/>
                <w:szCs w:val="28"/>
              </w:rPr>
              <w:t xml:space="preserve">D2</w:t>
            </w:r>
          </w:p>
        </w:tc>
        <w:tc>
          <w:tcPr>
            <w:tcW w:type="dxa" w:w="7560"/>
            <w:tcBorders>
              <w:top w:val="none" w:color="FFFFFF" w:sz="0"/>
              <w:left w:val="none" w:color="FFFFFF" w:sz="0"/>
              <w:bottom w:val="none" w:color="FFFFFF" w:sz="0"/>
              <w:right w:val="none" w:color="FFFFFF" w:sz="0"/>
            </w:tcBorders>
            <w:shd w:fill="0D1B2A" w:val="clear"/>
            <w:tcMar>
              <w:top w:type="dxa" w:w="100"/>
              <w:left w:type="dxa" w:w="140"/>
              <w:bottom w:type="dxa" w:w="100"/>
              <w:right w:type="dxa" w:w="100"/>
            </w:tcMar>
          </w:tcPr>
          <w:p>
            <w:pPr>
              <w:spacing w:after="100" w:before="0"/>
              <w:jc w:val="left"/>
            </w:pPr>
            <w:r>
              <w:rPr>
                <w:rFonts w:ascii="Arial" w:cs="Arial" w:eastAsia="Arial" w:hAnsi="Arial"/>
                <w:b/>
                <w:bCs/>
                <w:color w:val="FFFFFF"/>
                <w:sz w:val="26"/>
                <w:szCs w:val="26"/>
              </w:rPr>
              <w:t xml:space="preserve">Dados e Tecnologia</w:t>
            </w:r>
          </w:p>
        </w:tc>
        <w:tc>
          <w:tcPr>
            <w:tcW w:type="dxa" w:w="1000"/>
            <w:tcBorders>
              <w:top w:val="none" w:color="FFFFFF" w:sz="0"/>
              <w:left w:val="none" w:color="FFFFFF" w:sz="0"/>
              <w:bottom w:val="none" w:color="FFFFFF" w:sz="0"/>
              <w:right w:val="none" w:color="FFFFFF" w:sz="0"/>
            </w:tcBorders>
            <w:shd w:fill="008F7A" w:val="clear"/>
            <w:tcMar>
              <w:top w:type="dxa" w:w="100"/>
              <w:left w:type="dxa" w:w="80"/>
              <w:bottom w:type="dxa" w:w="100"/>
              <w:right w:type="dxa" w:w="80"/>
            </w:tcMar>
          </w:tcPr>
          <w:p>
            <w:pPr>
              <w:spacing w:after="100" w:before="0"/>
              <w:jc w:val="center"/>
            </w:pPr>
            <w:r>
              <w:rPr>
                <w:rFonts w:ascii="Arial" w:cs="Arial" w:eastAsia="Arial" w:hAnsi="Arial"/>
                <w:b w:val="false"/>
                <w:bCs w:val="false"/>
                <w:color w:val="E0F5F1"/>
                <w:sz w:val="13"/>
                <w:szCs w:val="13"/>
              </w:rPr>
              <w:t xml:space="preserve">Peso</w:t>
            </w:r>
            <w:r>
              <w:rPr>
                <w:rFonts w:ascii="Arial" w:cs="Arial" w:eastAsia="Arial" w:hAnsi="Arial"/>
                <w:b/>
                <w:bCs/>
                <w:color w:val="FFFFFF"/>
                <w:sz w:val="22"/>
                <w:szCs w:val="22"/>
              </w:rPr>
              <w:t xml:space="preserve"> 7%</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D1B2A" w:val="clear"/>
            <w:tcMar>
              <w:top w:type="dxa" w:w="70"/>
              <w:left w:type="dxa" w:w="100"/>
              <w:bottom w:type="dxa" w:w="70"/>
              <w:right w:type="dxa" w:w="80"/>
            </w:tcMar>
          </w:tcPr>
          <w:p>
            <w:pPr>
              <w:spacing w:after="100" w:before="0"/>
              <w:jc w:val="center"/>
            </w:pPr>
            <w:r>
              <w:rPr>
                <w:rFonts w:ascii="Arial" w:cs="Arial" w:eastAsia="Arial" w:hAnsi="Arial"/>
                <w:b/>
                <w:bCs/>
                <w:color w:val="FFFFFF"/>
                <w:sz w:val="17"/>
                <w:szCs w:val="17"/>
              </w:rPr>
              <w:t xml:space="preserve">MIT CISR</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8F7A" w:val="clear"/>
            <w:tcMar>
              <w:top w:type="dxa" w:w="70"/>
              <w:left w:type="dxa" w:w="80"/>
              <w:bottom w:type="dxa" w:w="70"/>
              <w:right w:type="dxa" w:w="60"/>
            </w:tcMar>
          </w:tcPr>
          <w:p>
            <w:pPr>
              <w:spacing w:after="100" w:before="0"/>
              <w:jc w:val="center"/>
            </w:pPr>
            <w:r>
              <w:rPr>
                <w:rFonts w:ascii="Arial" w:cs="Arial" w:eastAsia="Arial" w:hAnsi="Arial"/>
                <w:b/>
                <w:bCs/>
                <w:color w:val="FFFFFF"/>
                <w:sz w:val="14"/>
                <w:szCs w:val="14"/>
              </w:rPr>
              <w:t xml:space="preserve">MIT</w:t>
            </w:r>
          </w:p>
        </w:tc>
        <w:tc>
          <w:tcPr>
            <w:tcW w:type="dxa" w:w="8960"/>
            <w:tcBorders>
              <w:top w:val="none" w:color="FFFFFF" w:sz="0"/>
              <w:left w:val="none" w:color="FFFFFF" w:sz="0"/>
              <w:bottom w:val="none" w:color="FFFFFF" w:sz="0"/>
              <w:right w:val="none" w:color="FFFFFF" w:sz="0"/>
            </w:tcBorders>
            <w:shd w:fill="E0F5F1" w:val="clear"/>
            <w:tcMar>
              <w:top w:type="dxa" w:w="70"/>
              <w:left w:type="dxa" w:w="120"/>
              <w:bottom w:type="dxa" w:w="70"/>
              <w:right w:type="dxa" w:w="100"/>
            </w:tcMar>
          </w:tcPr>
          <w:p>
            <w:pPr>
              <w:spacing w:after="100" w:before="0"/>
              <w:jc w:val="left"/>
            </w:pPr>
            <w:r>
              <w:rPr>
                <w:rFonts w:ascii="Arial" w:cs="Arial" w:eastAsia="Arial" w:hAnsi="Arial"/>
                <w:b/>
                <w:bCs/>
                <w:color w:val="008F7A"/>
                <w:sz w:val="17"/>
                <w:szCs w:val="17"/>
              </w:rPr>
              <w:t xml:space="preserve">Habilitador central do Estágio 2 → 3. O MIT CISR define que a passagem para o Estágio Estruturado exige MLOps básico implementado e infraestrutura de dados operacional.</w:t>
            </w:r>
          </w:p>
        </w:tc>
      </w:tr>
    </w:tbl>
    <w:p>
      <w:pPr>
        <w:spacing w:after="0" w:before="80"/>
      </w:pPr>
      <w:r>
        <w:rPr>
          <w:sz w:val="2"/>
          <w:szCs w:val="2"/>
        </w:rPr>
        <w:t xml:space="preserve"/>
      </w:r>
    </w:p>
    <w:p>
      <w:pPr>
        <w:pStyle w:val="Heading2"/>
        <w:spacing w:after="80" w:before="160"/>
      </w:pPr>
      <w:r>
        <w:rPr>
          <w:rFonts w:ascii="Arial" w:cs="Arial" w:eastAsia="Arial" w:hAnsi="Arial"/>
        </w:rPr>
        <w:t xml:space="preserve">De onde veio esta dimensão</w:t>
      </w:r>
    </w:p>
    <w:p>
      <w:pPr>
        <w:spacing w:after="120" w:before="0"/>
        <w:jc w:val="left"/>
      </w:pPr>
      <w:r>
        <w:rPr>
          <w:rFonts w:ascii="Arial" w:cs="Arial" w:eastAsia="Arial" w:hAnsi="Arial"/>
          <w:b w:val="false"/>
          <w:bCs w:val="false"/>
          <w:color w:val="0D1B2A"/>
          <w:sz w:val="20"/>
          <w:szCs w:val="20"/>
        </w:rPr>
        <w:t xml:space="preserve">O MIT CISR estabelece que a maturidade técnica em dados é o pré-requisito infraestrutural de todas as demais dimensões. Sem dados de qualidade e infraestrutura escalável, modelos de IA não chegam à produção — ou chegam e falham. Esta dimensão é diretamente derivada do componente técnico do modelo MIT CISR, com adição do conceito de MLOps (Machine Learning Operations) como prática de engenharia necessária para sustentar IA em produção.</w:t>
      </w:r>
    </w:p>
    <w:p>
      <w:pPr>
        <w:pStyle w:val="Heading2"/>
        <w:spacing w:after="80" w:before="160"/>
      </w:pPr>
      <w:r>
        <w:rPr>
          <w:rFonts w:ascii="Arial" w:cs="Arial" w:eastAsia="Arial" w:hAnsi="Arial"/>
        </w:rPr>
        <w:t xml:space="preserve">Critérios avaliados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Catálogo centralizado de dados (governança de metadados)</w:t>
            </w:r>
          </w:p>
          <w:p>
            <w:pPr>
              <w:pStyle w:val="ListParagraph"/>
              <w:numPr>
                <w:ilvl w:val="0"/>
                <w:numId w:val="2"/>
              </w:numPr>
              <w:spacing w:after="30" w:before="30"/>
            </w:pPr>
            <w:r>
              <w:rPr>
                <w:rFonts w:ascii="Arial" w:cs="Arial" w:eastAsia="Arial" w:hAnsi="Arial"/>
                <w:b w:val="false"/>
                <w:bCs w:val="false"/>
                <w:color w:val="0D1B2A"/>
                <w:sz w:val="18"/>
                <w:szCs w:val="18"/>
              </w:rPr>
              <w:t xml:space="preserve">Qualidade dos dados: completude, acurácia, consistência</w:t>
            </w:r>
          </w:p>
          <w:p>
            <w:pPr>
              <w:pStyle w:val="ListParagraph"/>
              <w:numPr>
                <w:ilvl w:val="0"/>
                <w:numId w:val="2"/>
              </w:numPr>
              <w:spacing w:after="30" w:before="30"/>
            </w:pPr>
            <w:r>
              <w:rPr>
                <w:rFonts w:ascii="Arial" w:cs="Arial" w:eastAsia="Arial" w:hAnsi="Arial"/>
                <w:b w:val="false"/>
                <w:bCs w:val="false"/>
                <w:color w:val="0D1B2A"/>
                <w:sz w:val="18"/>
                <w:szCs w:val="18"/>
              </w:rPr>
              <w:t xml:space="preserve">Ferramentas de MLOps: versionamento de modelos, CI/CD para IA</w:t>
            </w:r>
          </w:p>
        </w:tc>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Escalabilidade arquitetural: cloud, microsserviços, APIs</w:t>
            </w:r>
          </w:p>
          <w:p>
            <w:pPr>
              <w:pStyle w:val="ListParagraph"/>
              <w:numPr>
                <w:ilvl w:val="0"/>
                <w:numId w:val="2"/>
              </w:numPr>
              <w:spacing w:after="30" w:before="30"/>
            </w:pPr>
            <w:r>
              <w:rPr>
                <w:rFonts w:ascii="Arial" w:cs="Arial" w:eastAsia="Arial" w:hAnsi="Arial"/>
                <w:b w:val="false"/>
                <w:bCs w:val="false"/>
                <w:color w:val="0D1B2A"/>
                <w:sz w:val="18"/>
                <w:szCs w:val="18"/>
              </w:rPr>
              <w:t xml:space="preserve">APIs padronizadas e documentadas para consumo de modelos</w:t>
            </w:r>
          </w:p>
          <w:p>
            <w:pPr>
              <w:pStyle w:val="ListParagraph"/>
              <w:numPr>
                <w:ilvl w:val="0"/>
                <w:numId w:val="2"/>
              </w:numPr>
              <w:spacing w:after="30" w:before="30"/>
            </w:pPr>
            <w:r>
              <w:rPr>
                <w:rFonts w:ascii="Arial" w:cs="Arial" w:eastAsia="Arial" w:hAnsi="Arial"/>
                <w:b w:val="false"/>
                <w:bCs w:val="false"/>
                <w:color w:val="0D1B2A"/>
                <w:sz w:val="18"/>
                <w:szCs w:val="18"/>
              </w:rPr>
              <w:t xml:space="preserve">Infraestrutura de computação: GPU/TPU para treinamento e inferência</w:t>
            </w:r>
          </w:p>
        </w:tc>
      </w:tr>
    </w:tbl>
    <w:p>
      <w:pPr>
        <w:spacing w:after="0" w:before="80"/>
      </w:pPr>
      <w:r>
        <w:rPr>
          <w:sz w:val="2"/>
          <w:szCs w:val="2"/>
        </w:rPr>
        <w:t xml:space="preserve"/>
      </w:r>
    </w:p>
    <w:p>
      <w:pPr>
        <w:pStyle w:val="Heading2"/>
        <w:spacing w:after="80" w:before="160"/>
      </w:pPr>
      <w:r>
        <w:rPr>
          <w:rFonts w:ascii="Arial" w:cs="Arial" w:eastAsia="Arial" w:hAnsi="Arial"/>
        </w:rPr>
        <w:t xml:space="preserve">Por que esta dimensão importa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008F7A" w:val="clear"/>
            <w:tcMar>
              <w:top w:type="dxa" w:w="80"/>
              <w:left w:type="dxa" w:w="60"/>
              <w:bottom w:type="dxa" w:w="80"/>
              <w:right w:type="dxa" w:w="40"/>
            </w:tcMar>
          </w:tcPr>
          <w:p>
            <w:pPr>
              <w:spacing w:after="100" w:before="0"/>
              <w:jc w:val="left"/>
            </w:pPr>
            <w:r>
              <w:rPr>
                <w:rFonts w:ascii="Arial" w:cs="Arial" w:eastAsia="Arial" w:hAnsi="Arial"/>
                <w:b w:val="false"/>
                <w:bCs w:val="false"/>
                <w:color w:val="0D1B2A"/>
                <w:sz w:val="20"/>
                <w:szCs w:val="20"/>
              </w:rPr>
              <w:t xml:space="preserve"> </w:t>
            </w:r>
          </w:p>
        </w:tc>
        <w:tc>
          <w:tcPr>
            <w:tcW w:type="dxa" w:w="9220"/>
            <w:tcBorders>
              <w:top w:val="none" w:color="FFFFFF" w:sz="0"/>
              <w:left w:val="none" w:color="FFFFFF" w:sz="0"/>
              <w:bottom w:val="none" w:color="FFFFFF" w:sz="0"/>
              <w:right w:val="none" w:color="FFFFFF" w:sz="0"/>
            </w:tcBorders>
            <w:shd w:fill="E0F5F1" w:val="clear"/>
            <w:tcMar>
              <w:top w:type="dxa" w:w="100"/>
              <w:left w:type="dxa" w:w="140"/>
              <w:bottom w:type="dxa" w:w="100"/>
              <w:right w:type="dxa" w:w="120"/>
            </w:tcMar>
          </w:tcPr>
          <w:p>
            <w:pPr>
              <w:spacing w:after="100" w:before="0"/>
              <w:jc w:val="left"/>
            </w:pPr>
            <w:r>
              <w:rPr>
                <w:rFonts w:ascii="Arial" w:cs="Arial" w:eastAsia="Arial" w:hAnsi="Arial"/>
                <w:b w:val="false"/>
                <w:bCs w:val="false"/>
                <w:color w:val="0D1B2A"/>
                <w:sz w:val="18"/>
                <w:szCs w:val="18"/>
              </w:rPr>
              <w:t xml:space="preserve">"Garbage in, garbage out" — modelos de IA são tão bons quanto os dados que os alimentam. Sem infraestrutura adequada, projetos prometem em POC mas travam na escala.</w:t>
            </w:r>
          </w:p>
        </w:tc>
      </w:tr>
    </w:tbl>
    <w:p>
      <w:pPr>
        <w:spacing w:after="0" w:before="80"/>
      </w:pPr>
      <w:r>
        <w:rPr>
          <w:sz w:val="2"/>
          <w:szCs w:val="2"/>
        </w:rPr>
        <w:t xml:space="preserve"/>
      </w:r>
    </w:p>
    <w:p>
      <w:pPr>
        <w:pStyle w:val="Heading2"/>
        <w:spacing w:after="80" w:before="160"/>
      </w:pPr>
      <w:r>
        <w:rPr>
          <w:rFonts w:ascii="Arial" w:cs="Arial" w:eastAsia="Arial" w:hAnsi="Arial"/>
        </w:rPr>
        <w:t xml:space="preserve">O que queremos mostrar ao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5A623" w:val="clear"/>
            <w:tcMar>
              <w:top w:type="dxa" w:w="80"/>
              <w:left w:type="dxa" w:w="60"/>
              <w:bottom w:type="dxa" w:w="80"/>
              <w:right w:type="dxa" w:w="40"/>
            </w:tcMar>
          </w:tcPr>
          <w:p>
            <w:pPr>
              <w:spacing w:after="100" w:before="0"/>
              <w:jc w:val="center"/>
            </w:pPr>
            <w:r>
              <w:rPr>
                <w:rFonts w:ascii="Arial" w:cs="Arial" w:eastAsia="Arial" w:hAnsi="Arial"/>
                <w:b/>
                <w:bCs/>
                <w:color w:val="FFFFFF"/>
                <w:sz w:val="20"/>
                <w:szCs w:val="20"/>
              </w:rPr>
              <w:t xml:space="preserve">!</w:t>
            </w:r>
          </w:p>
        </w:tc>
        <w:tc>
          <w:tcPr>
            <w:tcW w:type="dxa" w:w="9160"/>
            <w:tcBorders>
              <w:top w:val="none" w:color="FFFFFF" w:sz="0"/>
              <w:left w:val="none" w:color="FFFFFF" w:sz="0"/>
              <w:bottom w:val="none" w:color="FFFFFF" w:sz="0"/>
              <w:right w:val="none" w:color="FFFFFF" w:sz="0"/>
            </w:tcBorders>
            <w:shd w:fill="FFF8EC" w:val="clear"/>
            <w:tcMar>
              <w:top w:type="dxa" w:w="90"/>
              <w:left w:type="dxa" w:w="140"/>
              <w:bottom w:type="dxa" w:w="90"/>
              <w:right w:type="dxa" w:w="120"/>
            </w:tcMar>
          </w:tcPr>
          <w:p>
            <w:pPr>
              <w:spacing w:after="100" w:before="0"/>
              <w:jc w:val="left"/>
            </w:pPr>
            <w:r>
              <w:rPr>
                <w:rFonts w:ascii="Arial" w:cs="Arial" w:eastAsia="Arial" w:hAnsi="Arial"/>
                <w:b w:val="false"/>
                <w:bCs w:val="false"/>
                <w:color w:val="0D1B2A"/>
                <w:sz w:val="18"/>
                <w:szCs w:val="18"/>
              </w:rPr>
              <w:t xml:space="preserve">Revelar se a empresa tem os alicerces técnicos para sustentar IA além dos pilotos. Score baixo aqui significa dados siloados, sem catálogo, com pipelines manuais — o tipo de problema que atrasa projetos de IA em meses e anos.</w:t>
            </w:r>
          </w:p>
        </w:tc>
      </w:tr>
    </w:tbl>
    <w:p>
      <w:pPr>
        <w:spacing w:after="0" w:before="80"/>
      </w:pPr>
      <w:r>
        <w:rPr>
          <w:sz w:val="2"/>
          <w:szCs w:val="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none" w:color="FFFFFF" w:sz="0"/>
              <w:left w:val="none" w:color="FFFFFF" w:sz="0"/>
              <w:bottom w:val="none" w:color="FFFFFF" w:sz="0"/>
              <w:right w:val="none" w:color="FFFFFF" w:sz="0"/>
            </w:tcBorders>
            <w:shd w:fill="C0392B" w:val="clear"/>
            <w:tcMar>
              <w:top w:type="dxa" w:w="120"/>
              <w:left w:type="dxa" w:w="100"/>
              <w:bottom w:type="dxa" w:w="120"/>
              <w:right w:type="dxa" w:w="80"/>
            </w:tcMar>
          </w:tcPr>
          <w:p>
            <w:pPr>
              <w:spacing w:after="100" w:before="0"/>
              <w:jc w:val="center"/>
            </w:pPr>
            <w:r>
              <w:rPr>
                <w:rFonts w:ascii="Arial" w:cs="Arial" w:eastAsia="Arial" w:hAnsi="Arial"/>
                <w:b/>
                <w:bCs/>
                <w:color w:val="FFFFFF"/>
                <w:sz w:val="28"/>
                <w:szCs w:val="28"/>
              </w:rPr>
              <w:t xml:space="preserve">D3</w:t>
            </w:r>
          </w:p>
        </w:tc>
        <w:tc>
          <w:tcPr>
            <w:tcW w:type="dxa" w:w="7560"/>
            <w:tcBorders>
              <w:top w:val="none" w:color="FFFFFF" w:sz="0"/>
              <w:left w:val="none" w:color="FFFFFF" w:sz="0"/>
              <w:bottom w:val="none" w:color="FFFFFF" w:sz="0"/>
              <w:right w:val="none" w:color="FFFFFF" w:sz="0"/>
            </w:tcBorders>
            <w:shd w:fill="0D1B2A" w:val="clear"/>
            <w:tcMar>
              <w:top w:type="dxa" w:w="100"/>
              <w:left w:type="dxa" w:w="140"/>
              <w:bottom w:type="dxa" w:w="100"/>
              <w:right w:type="dxa" w:w="100"/>
            </w:tcMar>
          </w:tcPr>
          <w:p>
            <w:pPr>
              <w:spacing w:after="100" w:before="0"/>
              <w:jc w:val="left"/>
            </w:pPr>
            <w:r>
              <w:rPr>
                <w:rFonts w:ascii="Arial" w:cs="Arial" w:eastAsia="Arial" w:hAnsi="Arial"/>
                <w:b/>
                <w:bCs/>
                <w:color w:val="FFFFFF"/>
                <w:sz w:val="26"/>
                <w:szCs w:val="26"/>
              </w:rPr>
              <w:t xml:space="preserve">Governança e Risco</w:t>
            </w:r>
          </w:p>
        </w:tc>
        <w:tc>
          <w:tcPr>
            <w:tcW w:type="dxa" w:w="1000"/>
            <w:tcBorders>
              <w:top w:val="none" w:color="FFFFFF" w:sz="0"/>
              <w:left w:val="none" w:color="FFFFFF" w:sz="0"/>
              <w:bottom w:val="none" w:color="FFFFFF" w:sz="0"/>
              <w:right w:val="none" w:color="FFFFFF" w:sz="0"/>
            </w:tcBorders>
            <w:shd w:fill="008F7A" w:val="clear"/>
            <w:tcMar>
              <w:top w:type="dxa" w:w="100"/>
              <w:left w:type="dxa" w:w="80"/>
              <w:bottom w:type="dxa" w:w="100"/>
              <w:right w:type="dxa" w:w="80"/>
            </w:tcMar>
          </w:tcPr>
          <w:p>
            <w:pPr>
              <w:spacing w:after="100" w:before="0"/>
              <w:jc w:val="center"/>
            </w:pPr>
            <w:r>
              <w:rPr>
                <w:rFonts w:ascii="Arial" w:cs="Arial" w:eastAsia="Arial" w:hAnsi="Arial"/>
                <w:b w:val="false"/>
                <w:bCs w:val="false"/>
                <w:color w:val="E0F5F1"/>
                <w:sz w:val="13"/>
                <w:szCs w:val="13"/>
              </w:rPr>
              <w:t xml:space="preserve">Peso</w:t>
            </w:r>
            <w:r>
              <w:rPr>
                <w:rFonts w:ascii="Arial" w:cs="Arial" w:eastAsia="Arial" w:hAnsi="Arial"/>
                <w:b/>
                <w:bCs/>
                <w:color w:val="FFFFFF"/>
                <w:sz w:val="22"/>
                <w:szCs w:val="22"/>
              </w:rPr>
              <w:t xml:space="preserve"> 7%</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1A5E8A" w:val="clear"/>
            <w:tcMar>
              <w:top w:type="dxa" w:w="70"/>
              <w:left w:type="dxa" w:w="100"/>
              <w:bottom w:type="dxa" w:w="70"/>
              <w:right w:type="dxa" w:w="80"/>
            </w:tcMar>
          </w:tcPr>
          <w:p>
            <w:pPr>
              <w:spacing w:after="100" w:before="0"/>
              <w:jc w:val="center"/>
            </w:pPr>
            <w:r>
              <w:rPr>
                <w:rFonts w:ascii="Arial" w:cs="Arial" w:eastAsia="Arial" w:hAnsi="Arial"/>
                <w:b/>
                <w:bCs/>
                <w:color w:val="FFFFFF"/>
                <w:sz w:val="17"/>
                <w:szCs w:val="17"/>
              </w:rPr>
              <w:t xml:space="preserve">NIST AI RMF</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8F7A" w:val="clear"/>
            <w:tcMar>
              <w:top w:type="dxa" w:w="70"/>
              <w:left w:type="dxa" w:w="80"/>
              <w:bottom w:type="dxa" w:w="70"/>
              <w:right w:type="dxa" w:w="60"/>
            </w:tcMar>
          </w:tcPr>
          <w:p>
            <w:pPr>
              <w:spacing w:after="100" w:before="0"/>
              <w:jc w:val="center"/>
            </w:pPr>
            <w:r>
              <w:rPr>
                <w:rFonts w:ascii="Arial" w:cs="Arial" w:eastAsia="Arial" w:hAnsi="Arial"/>
                <w:b/>
                <w:bCs/>
                <w:color w:val="FFFFFF"/>
                <w:sz w:val="14"/>
                <w:szCs w:val="14"/>
              </w:rPr>
              <w:t xml:space="preserve">MIT</w:t>
            </w:r>
          </w:p>
        </w:tc>
        <w:tc>
          <w:tcPr>
            <w:tcW w:type="dxa" w:w="8960"/>
            <w:tcBorders>
              <w:top w:val="none" w:color="FFFFFF" w:sz="0"/>
              <w:left w:val="none" w:color="FFFFFF" w:sz="0"/>
              <w:bottom w:val="none" w:color="FFFFFF" w:sz="0"/>
              <w:right w:val="none" w:color="FFFFFF" w:sz="0"/>
            </w:tcBorders>
            <w:shd w:fill="E0F5F1" w:val="clear"/>
            <w:tcMar>
              <w:top w:type="dxa" w:w="70"/>
              <w:left w:type="dxa" w:w="120"/>
              <w:bottom w:type="dxa" w:w="70"/>
              <w:right w:type="dxa" w:w="100"/>
            </w:tcMar>
          </w:tcPr>
          <w:p>
            <w:pPr>
              <w:spacing w:after="100" w:before="0"/>
              <w:jc w:val="left"/>
            </w:pPr>
            <w:r>
              <w:rPr>
                <w:rFonts w:ascii="Arial" w:cs="Arial" w:eastAsia="Arial" w:hAnsi="Arial"/>
                <w:b/>
                <w:bCs/>
                <w:color w:val="008F7A"/>
                <w:sz w:val="17"/>
                <w:szCs w:val="17"/>
              </w:rPr>
              <w:t xml:space="preserve">Requisito do Estágio 3 (Estruturado). O MIT CISR define que governança formal é o que diferencia projetos pontuais de uma operação estruturada e auditável.</w:t>
            </w:r>
          </w:p>
        </w:tc>
      </w:tr>
    </w:tbl>
    <w:p>
      <w:pPr>
        <w:spacing w:after="0" w:before="80"/>
      </w:pPr>
      <w:r>
        <w:rPr>
          <w:sz w:val="2"/>
          <w:szCs w:val="2"/>
        </w:rPr>
        <w:t xml:space="preserve"/>
      </w:r>
    </w:p>
    <w:p>
      <w:pPr>
        <w:pStyle w:val="Heading2"/>
        <w:spacing w:after="80" w:before="160"/>
      </w:pPr>
      <w:r>
        <w:rPr>
          <w:rFonts w:ascii="Arial" w:cs="Arial" w:eastAsia="Arial" w:hAnsi="Arial"/>
        </w:rPr>
        <w:t xml:space="preserve">De onde veio esta dimensão</w:t>
      </w:r>
    </w:p>
    <w:p>
      <w:pPr>
        <w:spacing w:after="120" w:before="0"/>
        <w:jc w:val="left"/>
      </w:pPr>
      <w:r>
        <w:rPr>
          <w:rFonts w:ascii="Arial" w:cs="Arial" w:eastAsia="Arial" w:hAnsi="Arial"/>
          <w:b w:val="false"/>
          <w:bCs w:val="false"/>
          <w:color w:val="0D1B2A"/>
          <w:sz w:val="20"/>
          <w:szCs w:val="20"/>
        </w:rPr>
        <w:t xml:space="preserve">Derivada diretamente do NIST AI Risk Management Framework (AI RMF 1.0, 2023), que estrutura a gestão de riscos em IA em 4 funções: GOVERN (cultura de risco), MAP (identificar contextos de risco), MEASURE (analisar e quantificar riscos) e MANAGE (priorizar e tratar). O NIST AI RMF é a referência global para responsabilidade em IA, adotado pela União Europeia como base para o EU AI Act. Esta dimensão também incorpora conceitos de ética em IA do MIT CISR, que exige governança formal como condição do Estágio 3.</w:t>
      </w:r>
    </w:p>
    <w:p>
      <w:pPr>
        <w:pStyle w:val="Heading2"/>
        <w:spacing w:after="80" w:before="160"/>
      </w:pPr>
      <w:r>
        <w:rPr>
          <w:rFonts w:ascii="Arial" w:cs="Arial" w:eastAsia="Arial" w:hAnsi="Arial"/>
        </w:rPr>
        <w:t xml:space="preserve">Critérios avaliados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Framework de governança de IA formalizado e documentado</w:t>
            </w:r>
          </w:p>
          <w:p>
            <w:pPr>
              <w:pStyle w:val="ListParagraph"/>
              <w:numPr>
                <w:ilvl w:val="0"/>
                <w:numId w:val="2"/>
              </w:numPr>
              <w:spacing w:after="30" w:before="30"/>
            </w:pPr>
            <w:r>
              <w:rPr>
                <w:rFonts w:ascii="Arial" w:cs="Arial" w:eastAsia="Arial" w:hAnsi="Arial"/>
                <w:b w:val="false"/>
                <w:bCs w:val="false"/>
                <w:color w:val="0D1B2A"/>
                <w:sz w:val="18"/>
                <w:szCs w:val="18"/>
              </w:rPr>
              <w:t xml:space="preserve">Conformidade com LGPD e GDPR para dados de treinamento e inferência</w:t>
            </w:r>
          </w:p>
          <w:p>
            <w:pPr>
              <w:pStyle w:val="ListParagraph"/>
              <w:numPr>
                <w:ilvl w:val="0"/>
                <w:numId w:val="2"/>
              </w:numPr>
              <w:spacing w:after="30" w:before="30"/>
            </w:pPr>
            <w:r>
              <w:rPr>
                <w:rFonts w:ascii="Arial" w:cs="Arial" w:eastAsia="Arial" w:hAnsi="Arial"/>
                <w:b w:val="false"/>
                <w:bCs w:val="false"/>
                <w:color w:val="0D1B2A"/>
                <w:sz w:val="18"/>
                <w:szCs w:val="18"/>
              </w:rPr>
              <w:t xml:space="preserve">Comitê ou função de ética em IA com poder decisório</w:t>
            </w:r>
          </w:p>
        </w:tc>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Processos de detecção e mitigação de vieses algorítmicos</w:t>
            </w:r>
          </w:p>
          <w:p>
            <w:pPr>
              <w:pStyle w:val="ListParagraph"/>
              <w:numPr>
                <w:ilvl w:val="0"/>
                <w:numId w:val="2"/>
              </w:numPr>
              <w:spacing w:after="30" w:before="30"/>
            </w:pPr>
            <w:r>
              <w:rPr>
                <w:rFonts w:ascii="Arial" w:cs="Arial" w:eastAsia="Arial" w:hAnsi="Arial"/>
                <w:b w:val="false"/>
                <w:bCs w:val="false"/>
                <w:color w:val="0D1B2A"/>
                <w:sz w:val="18"/>
                <w:szCs w:val="18"/>
              </w:rPr>
              <w:t xml:space="preserve">Gestão de riscos específica para IA: registro, classificação, SLA de resposta</w:t>
            </w:r>
          </w:p>
          <w:p>
            <w:pPr>
              <w:pStyle w:val="ListParagraph"/>
              <w:numPr>
                <w:ilvl w:val="0"/>
                <w:numId w:val="2"/>
              </w:numPr>
              <w:spacing w:after="30" w:before="30"/>
            </w:pPr>
            <w:r>
              <w:rPr>
                <w:rFonts w:ascii="Arial" w:cs="Arial" w:eastAsia="Arial" w:hAnsi="Arial"/>
                <w:b w:val="false"/>
                <w:bCs w:val="false"/>
                <w:color w:val="0D1B2A"/>
                <w:sz w:val="18"/>
                <w:szCs w:val="18"/>
              </w:rPr>
              <w:t xml:space="preserve">Auditoria periódica de modelos em produção (model drift, fairness)</w:t>
            </w:r>
          </w:p>
        </w:tc>
      </w:tr>
    </w:tbl>
    <w:p>
      <w:pPr>
        <w:spacing w:after="0" w:before="80"/>
      </w:pPr>
      <w:r>
        <w:rPr>
          <w:sz w:val="2"/>
          <w:szCs w:val="2"/>
        </w:rPr>
        <w:t xml:space="preserve"/>
      </w:r>
    </w:p>
    <w:p>
      <w:pPr>
        <w:pStyle w:val="Heading2"/>
        <w:spacing w:after="80" w:before="160"/>
      </w:pPr>
      <w:r>
        <w:rPr>
          <w:rFonts w:ascii="Arial" w:cs="Arial" w:eastAsia="Arial" w:hAnsi="Arial"/>
        </w:rPr>
        <w:t xml:space="preserve">Por que esta dimensão importa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008F7A" w:val="clear"/>
            <w:tcMar>
              <w:top w:type="dxa" w:w="80"/>
              <w:left w:type="dxa" w:w="60"/>
              <w:bottom w:type="dxa" w:w="80"/>
              <w:right w:type="dxa" w:w="40"/>
            </w:tcMar>
          </w:tcPr>
          <w:p>
            <w:pPr>
              <w:spacing w:after="100" w:before="0"/>
              <w:jc w:val="left"/>
            </w:pPr>
            <w:r>
              <w:rPr>
                <w:rFonts w:ascii="Arial" w:cs="Arial" w:eastAsia="Arial" w:hAnsi="Arial"/>
                <w:b w:val="false"/>
                <w:bCs w:val="false"/>
                <w:color w:val="0D1B2A"/>
                <w:sz w:val="20"/>
                <w:szCs w:val="20"/>
              </w:rPr>
              <w:t xml:space="preserve"> </w:t>
            </w:r>
          </w:p>
        </w:tc>
        <w:tc>
          <w:tcPr>
            <w:tcW w:type="dxa" w:w="9220"/>
            <w:tcBorders>
              <w:top w:val="none" w:color="FFFFFF" w:sz="0"/>
              <w:left w:val="none" w:color="FFFFFF" w:sz="0"/>
              <w:bottom w:val="none" w:color="FFFFFF" w:sz="0"/>
              <w:right w:val="none" w:color="FFFFFF" w:sz="0"/>
            </w:tcBorders>
            <w:shd w:fill="E0F5F1" w:val="clear"/>
            <w:tcMar>
              <w:top w:type="dxa" w:w="100"/>
              <w:left w:type="dxa" w:w="140"/>
              <w:bottom w:type="dxa" w:w="100"/>
              <w:right w:type="dxa" w:w="120"/>
            </w:tcMar>
          </w:tcPr>
          <w:p>
            <w:pPr>
              <w:spacing w:after="100" w:before="0"/>
              <w:jc w:val="left"/>
            </w:pPr>
            <w:r>
              <w:rPr>
                <w:rFonts w:ascii="Arial" w:cs="Arial" w:eastAsia="Arial" w:hAnsi="Arial"/>
                <w:b w:val="false"/>
                <w:bCs w:val="false"/>
                <w:color w:val="0D1B2A"/>
                <w:sz w:val="18"/>
                <w:szCs w:val="18"/>
              </w:rPr>
              <w:t xml:space="preserve">IA mal governada gera riscos regulatórios (multas LGPD/EU AI Act), reputacionais (caso público de viés ou discriminação) e operacionais (modelo degradado sem alerta). Com a chegada da IA agêntica, o risco se amplifica exponencialmente.</w:t>
            </w:r>
          </w:p>
        </w:tc>
      </w:tr>
    </w:tbl>
    <w:p>
      <w:pPr>
        <w:spacing w:after="0" w:before="80"/>
      </w:pPr>
      <w:r>
        <w:rPr>
          <w:sz w:val="2"/>
          <w:szCs w:val="2"/>
        </w:rPr>
        <w:t xml:space="preserve"/>
      </w:r>
    </w:p>
    <w:p>
      <w:pPr>
        <w:pStyle w:val="Heading2"/>
        <w:spacing w:after="80" w:before="160"/>
      </w:pPr>
      <w:r>
        <w:rPr>
          <w:rFonts w:ascii="Arial" w:cs="Arial" w:eastAsia="Arial" w:hAnsi="Arial"/>
        </w:rPr>
        <w:t xml:space="preserve">O que queremos mostrar ao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5A623" w:val="clear"/>
            <w:tcMar>
              <w:top w:type="dxa" w:w="80"/>
              <w:left w:type="dxa" w:w="60"/>
              <w:bottom w:type="dxa" w:w="80"/>
              <w:right w:type="dxa" w:w="40"/>
            </w:tcMar>
          </w:tcPr>
          <w:p>
            <w:pPr>
              <w:spacing w:after="100" w:before="0"/>
              <w:jc w:val="center"/>
            </w:pPr>
            <w:r>
              <w:rPr>
                <w:rFonts w:ascii="Arial" w:cs="Arial" w:eastAsia="Arial" w:hAnsi="Arial"/>
                <w:b/>
                <w:bCs/>
                <w:color w:val="FFFFFF"/>
                <w:sz w:val="20"/>
                <w:szCs w:val="20"/>
              </w:rPr>
              <w:t xml:space="preserve">!</w:t>
            </w:r>
          </w:p>
        </w:tc>
        <w:tc>
          <w:tcPr>
            <w:tcW w:type="dxa" w:w="9160"/>
            <w:tcBorders>
              <w:top w:val="none" w:color="FFFFFF" w:sz="0"/>
              <w:left w:val="none" w:color="FFFFFF" w:sz="0"/>
              <w:bottom w:val="none" w:color="FFFFFF" w:sz="0"/>
              <w:right w:val="none" w:color="FFFFFF" w:sz="0"/>
            </w:tcBorders>
            <w:shd w:fill="FFF8EC" w:val="clear"/>
            <w:tcMar>
              <w:top w:type="dxa" w:w="90"/>
              <w:left w:type="dxa" w:w="140"/>
              <w:bottom w:type="dxa" w:w="90"/>
              <w:right w:type="dxa" w:w="120"/>
            </w:tcMar>
          </w:tcPr>
          <w:p>
            <w:pPr>
              <w:spacing w:after="100" w:before="0"/>
              <w:jc w:val="left"/>
            </w:pPr>
            <w:r>
              <w:rPr>
                <w:rFonts w:ascii="Arial" w:cs="Arial" w:eastAsia="Arial" w:hAnsi="Arial"/>
                <w:b w:val="false"/>
                <w:bCs w:val="false"/>
                <w:color w:val="0D1B2A"/>
                <w:sz w:val="18"/>
                <w:szCs w:val="18"/>
              </w:rPr>
              <w:t xml:space="preserve">Identificar se a empresa opera IA de forma responsável e auditável — ou se está construindo sobre areia. Em 2024, regulações de IA tornaram-se obrigatórias em vários setores. Score baixo aqui é risco jurídico e de negócio imediato.</w:t>
            </w:r>
          </w:p>
        </w:tc>
      </w:tr>
    </w:tbl>
    <w:p>
      <w:pPr>
        <w:spacing w:after="0" w:before="80"/>
      </w:pPr>
      <w:r>
        <w:rPr>
          <w:sz w:val="2"/>
          <w:szCs w:val="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none" w:color="FFFFFF" w:sz="0"/>
              <w:left w:val="none" w:color="FFFFFF" w:sz="0"/>
              <w:bottom w:val="none" w:color="FFFFFF" w:sz="0"/>
              <w:right w:val="none" w:color="FFFFFF" w:sz="0"/>
            </w:tcBorders>
            <w:shd w:fill="534AB7" w:val="clear"/>
            <w:tcMar>
              <w:top w:type="dxa" w:w="120"/>
              <w:left w:type="dxa" w:w="100"/>
              <w:bottom w:type="dxa" w:w="120"/>
              <w:right w:type="dxa" w:w="80"/>
            </w:tcMar>
          </w:tcPr>
          <w:p>
            <w:pPr>
              <w:spacing w:after="100" w:before="0"/>
              <w:jc w:val="center"/>
            </w:pPr>
            <w:r>
              <w:rPr>
                <w:rFonts w:ascii="Arial" w:cs="Arial" w:eastAsia="Arial" w:hAnsi="Arial"/>
                <w:b/>
                <w:bCs/>
                <w:color w:val="FFFFFF"/>
                <w:sz w:val="28"/>
                <w:szCs w:val="28"/>
              </w:rPr>
              <w:t xml:space="preserve">D4</w:t>
            </w:r>
          </w:p>
        </w:tc>
        <w:tc>
          <w:tcPr>
            <w:tcW w:type="dxa" w:w="7560"/>
            <w:tcBorders>
              <w:top w:val="none" w:color="FFFFFF" w:sz="0"/>
              <w:left w:val="none" w:color="FFFFFF" w:sz="0"/>
              <w:bottom w:val="none" w:color="FFFFFF" w:sz="0"/>
              <w:right w:val="none" w:color="FFFFFF" w:sz="0"/>
            </w:tcBorders>
            <w:shd w:fill="0D1B2A" w:val="clear"/>
            <w:tcMar>
              <w:top w:type="dxa" w:w="100"/>
              <w:left w:type="dxa" w:w="140"/>
              <w:bottom w:type="dxa" w:w="100"/>
              <w:right w:type="dxa" w:w="100"/>
            </w:tcMar>
          </w:tcPr>
          <w:p>
            <w:pPr>
              <w:spacing w:after="100" w:before="0"/>
              <w:jc w:val="left"/>
            </w:pPr>
            <w:r>
              <w:rPr>
                <w:rFonts w:ascii="Arial" w:cs="Arial" w:eastAsia="Arial" w:hAnsi="Arial"/>
                <w:b/>
                <w:bCs/>
                <w:color w:val="FFFFFF"/>
                <w:sz w:val="26"/>
                <w:szCs w:val="26"/>
              </w:rPr>
              <w:t xml:space="preserve">Pessoas e Cultura</w:t>
            </w:r>
          </w:p>
        </w:tc>
        <w:tc>
          <w:tcPr>
            <w:tcW w:type="dxa" w:w="1000"/>
            <w:tcBorders>
              <w:top w:val="none" w:color="FFFFFF" w:sz="0"/>
              <w:left w:val="none" w:color="FFFFFF" w:sz="0"/>
              <w:bottom w:val="none" w:color="FFFFFF" w:sz="0"/>
              <w:right w:val="none" w:color="FFFFFF" w:sz="0"/>
            </w:tcBorders>
            <w:shd w:fill="008F7A" w:val="clear"/>
            <w:tcMar>
              <w:top w:type="dxa" w:w="100"/>
              <w:left w:type="dxa" w:w="80"/>
              <w:bottom w:type="dxa" w:w="100"/>
              <w:right w:type="dxa" w:w="80"/>
            </w:tcMar>
          </w:tcPr>
          <w:p>
            <w:pPr>
              <w:spacing w:after="100" w:before="0"/>
              <w:jc w:val="center"/>
            </w:pPr>
            <w:r>
              <w:rPr>
                <w:rFonts w:ascii="Arial" w:cs="Arial" w:eastAsia="Arial" w:hAnsi="Arial"/>
                <w:b w:val="false"/>
                <w:bCs w:val="false"/>
                <w:color w:val="E0F5F1"/>
                <w:sz w:val="13"/>
                <w:szCs w:val="13"/>
              </w:rPr>
              <w:t xml:space="preserve">Peso</w:t>
            </w:r>
            <w:r>
              <w:rPr>
                <w:rFonts w:ascii="Arial" w:cs="Arial" w:eastAsia="Arial" w:hAnsi="Arial"/>
                <w:b/>
                <w:bCs/>
                <w:color w:val="FFFFFF"/>
                <w:sz w:val="22"/>
                <w:szCs w:val="22"/>
              </w:rPr>
              <w:t xml:space="preserve"> 6%</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534AB7" w:val="clear"/>
            <w:tcMar>
              <w:top w:type="dxa" w:w="70"/>
              <w:left w:type="dxa" w:w="100"/>
              <w:bottom w:type="dxa" w:w="70"/>
              <w:right w:type="dxa" w:w="80"/>
            </w:tcMar>
          </w:tcPr>
          <w:p>
            <w:pPr>
              <w:spacing w:after="100" w:before="0"/>
              <w:jc w:val="center"/>
            </w:pPr>
            <w:r>
              <w:rPr>
                <w:rFonts w:ascii="Arial" w:cs="Arial" w:eastAsia="Arial" w:hAnsi="Arial"/>
                <w:b/>
                <w:bCs/>
                <w:color w:val="FFFFFF"/>
                <w:sz w:val="17"/>
                <w:szCs w:val="17"/>
              </w:rPr>
              <w:t xml:space="preserve">SFIA</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8F7A" w:val="clear"/>
            <w:tcMar>
              <w:top w:type="dxa" w:w="70"/>
              <w:left w:type="dxa" w:w="80"/>
              <w:bottom w:type="dxa" w:w="70"/>
              <w:right w:type="dxa" w:w="60"/>
            </w:tcMar>
          </w:tcPr>
          <w:p>
            <w:pPr>
              <w:spacing w:after="100" w:before="0"/>
              <w:jc w:val="center"/>
            </w:pPr>
            <w:r>
              <w:rPr>
                <w:rFonts w:ascii="Arial" w:cs="Arial" w:eastAsia="Arial" w:hAnsi="Arial"/>
                <w:b/>
                <w:bCs/>
                <w:color w:val="FFFFFF"/>
                <w:sz w:val="14"/>
                <w:szCs w:val="14"/>
              </w:rPr>
              <w:t xml:space="preserve">MIT</w:t>
            </w:r>
          </w:p>
        </w:tc>
        <w:tc>
          <w:tcPr>
            <w:tcW w:type="dxa" w:w="8960"/>
            <w:tcBorders>
              <w:top w:val="none" w:color="FFFFFF" w:sz="0"/>
              <w:left w:val="none" w:color="FFFFFF" w:sz="0"/>
              <w:bottom w:val="none" w:color="FFFFFF" w:sz="0"/>
              <w:right w:val="none" w:color="FFFFFF" w:sz="0"/>
            </w:tcBorders>
            <w:shd w:fill="E0F5F1" w:val="clear"/>
            <w:tcMar>
              <w:top w:type="dxa" w:w="70"/>
              <w:left w:type="dxa" w:w="120"/>
              <w:bottom w:type="dxa" w:w="70"/>
              <w:right w:type="dxa" w:w="100"/>
            </w:tcMar>
          </w:tcPr>
          <w:p>
            <w:pPr>
              <w:spacing w:after="100" w:before="0"/>
              <w:jc w:val="left"/>
            </w:pPr>
            <w:r>
              <w:rPr>
                <w:rFonts w:ascii="Arial" w:cs="Arial" w:eastAsia="Arial" w:hAnsi="Arial"/>
                <w:b/>
                <w:bCs/>
                <w:color w:val="008F7A"/>
                <w:sz w:val="17"/>
                <w:szCs w:val="17"/>
              </w:rPr>
              <w:t xml:space="preserve">Gargalo da transição Estágio 3 → 4. O MIT CISR reconhece explicitamente que 'cultura de dados disseminada' é a principal característica que diferencia o Nível Gerenciado do Estruturado. O próprio MIT CISR admite pouca ênfase neste componente — o SFIA preenche esta lacuna.</w:t>
            </w:r>
          </w:p>
        </w:tc>
      </w:tr>
    </w:tbl>
    <w:p>
      <w:pPr>
        <w:spacing w:after="0" w:before="80"/>
      </w:pPr>
      <w:r>
        <w:rPr>
          <w:sz w:val="2"/>
          <w:szCs w:val="2"/>
        </w:rPr>
        <w:t xml:space="preserve"/>
      </w:r>
    </w:p>
    <w:p>
      <w:pPr>
        <w:pStyle w:val="Heading2"/>
        <w:spacing w:after="80" w:before="160"/>
      </w:pPr>
      <w:r>
        <w:rPr>
          <w:rFonts w:ascii="Arial" w:cs="Arial" w:eastAsia="Arial" w:hAnsi="Arial"/>
        </w:rPr>
        <w:t xml:space="preserve">De onde veio esta dimensão</w:t>
      </w:r>
    </w:p>
    <w:p>
      <w:pPr>
        <w:spacing w:after="120" w:before="0"/>
        <w:jc w:val="left"/>
      </w:pPr>
      <w:r>
        <w:rPr>
          <w:rFonts w:ascii="Arial" w:cs="Arial" w:eastAsia="Arial" w:hAnsi="Arial"/>
          <w:b w:val="false"/>
          <w:bCs w:val="false"/>
          <w:color w:val="0D1B2A"/>
          <w:sz w:val="20"/>
          <w:szCs w:val="20"/>
        </w:rPr>
        <w:t xml:space="preserve">O MIT CISR fornece o modelo de progressão de 5 estágios, mas reconhece ter pouca ênfase em cultura e mudança. O SFIA (Skills Framework for the Information Age, SFIA Foundation, 2021) foi incorporado para operacionalizar o componente humano da maturidade em IA. Com 7 níveis de responsabilidade e 97 habilidades com descritores comportamentais, o SFIA permite transformar "existe cultura de IA?" — uma pergunta subjetiva — em 6 critérios observáveis e mensuráveis. A dimensão 4 avalia o ambiente coletivo; a dimensão 10 avalia o inventário técnico individual. São complementares, não redundantes.</w:t>
      </w:r>
    </w:p>
    <w:p>
      <w:pPr>
        <w:pStyle w:val="Heading2"/>
        <w:spacing w:after="80" w:before="160"/>
      </w:pPr>
      <w:r>
        <w:rPr>
          <w:rFonts w:ascii="Arial" w:cs="Arial" w:eastAsia="Arial" w:hAnsi="Arial"/>
        </w:rPr>
        <w:t xml:space="preserve">Critérios avaliados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Disponibilidade de talentos de IA (data scientists, ML engineers, AI product managers)</w:t>
            </w:r>
          </w:p>
          <w:p>
            <w:pPr>
              <w:pStyle w:val="ListParagraph"/>
              <w:numPr>
                <w:ilvl w:val="0"/>
                <w:numId w:val="2"/>
              </w:numPr>
              <w:spacing w:after="30" w:before="30"/>
            </w:pPr>
            <w:r>
              <w:rPr>
                <w:rFonts w:ascii="Arial" w:cs="Arial" w:eastAsia="Arial" w:hAnsi="Arial"/>
                <w:b w:val="false"/>
                <w:bCs w:val="false"/>
                <w:color w:val="0D1B2A"/>
                <w:sz w:val="18"/>
                <w:szCs w:val="18"/>
              </w:rPr>
              <w:t xml:space="preserve">Programas estruturados de capacitação em IA para todos os níveis</w:t>
            </w:r>
          </w:p>
          <w:p>
            <w:pPr>
              <w:pStyle w:val="ListParagraph"/>
              <w:numPr>
                <w:ilvl w:val="0"/>
                <w:numId w:val="2"/>
              </w:numPr>
              <w:spacing w:after="30" w:before="30"/>
            </w:pPr>
            <w:r>
              <w:rPr>
                <w:rFonts w:ascii="Arial" w:cs="Arial" w:eastAsia="Arial" w:hAnsi="Arial"/>
                <w:b w:val="false"/>
                <w:bCs w:val="false"/>
                <w:color w:val="0D1B2A"/>
                <w:sz w:val="18"/>
                <w:szCs w:val="18"/>
              </w:rPr>
              <w:t xml:space="preserve">Cultura de experimentação: tolerância ao erro como parte do processo</w:t>
            </w:r>
          </w:p>
        </w:tc>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Planos de carreira formais em IA com trilhas de crescimento</w:t>
            </w:r>
          </w:p>
          <w:p>
            <w:pPr>
              <w:pStyle w:val="ListParagraph"/>
              <w:numPr>
                <w:ilvl w:val="0"/>
                <w:numId w:val="2"/>
              </w:numPr>
              <w:spacing w:after="30" w:before="30"/>
            </w:pPr>
            <w:r>
              <w:rPr>
                <w:rFonts w:ascii="Arial" w:cs="Arial" w:eastAsia="Arial" w:hAnsi="Arial"/>
                <w:b w:val="false"/>
                <w:bCs w:val="false"/>
                <w:color w:val="0D1B2A"/>
                <w:sz w:val="18"/>
                <w:szCs w:val="18"/>
              </w:rPr>
              <w:t xml:space="preserve">Colaboração interdisciplinar entre áreas técnicas e de negócio</w:t>
            </w:r>
          </w:p>
          <w:p>
            <w:pPr>
              <w:pStyle w:val="ListParagraph"/>
              <w:numPr>
                <w:ilvl w:val="0"/>
                <w:numId w:val="2"/>
              </w:numPr>
              <w:spacing w:after="30" w:before="30"/>
            </w:pPr>
            <w:r>
              <w:rPr>
                <w:rFonts w:ascii="Arial" w:cs="Arial" w:eastAsia="Arial" w:hAnsi="Arial"/>
                <w:b w:val="false"/>
                <w:bCs w:val="false"/>
                <w:color w:val="0D1B2A"/>
                <w:sz w:val="18"/>
                <w:szCs w:val="18"/>
              </w:rPr>
              <w:t xml:space="preserve">Capacidade de atração e retenção de talentos em mercado competitivo</w:t>
            </w:r>
          </w:p>
        </w:tc>
      </w:tr>
    </w:tbl>
    <w:p>
      <w:pPr>
        <w:spacing w:after="0" w:before="80"/>
      </w:pPr>
      <w:r>
        <w:rPr>
          <w:sz w:val="2"/>
          <w:szCs w:val="2"/>
        </w:rPr>
        <w:t xml:space="preserve"/>
      </w:r>
    </w:p>
    <w:p>
      <w:pPr>
        <w:pStyle w:val="Heading2"/>
        <w:spacing w:after="80" w:before="160"/>
      </w:pPr>
      <w:r>
        <w:rPr>
          <w:rFonts w:ascii="Arial" w:cs="Arial" w:eastAsia="Arial" w:hAnsi="Arial"/>
        </w:rPr>
        <w:t xml:space="preserve">Por que esta dimensão importa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008F7A" w:val="clear"/>
            <w:tcMar>
              <w:top w:type="dxa" w:w="80"/>
              <w:left w:type="dxa" w:w="60"/>
              <w:bottom w:type="dxa" w:w="80"/>
              <w:right w:type="dxa" w:w="40"/>
            </w:tcMar>
          </w:tcPr>
          <w:p>
            <w:pPr>
              <w:spacing w:after="100" w:before="0"/>
              <w:jc w:val="left"/>
            </w:pPr>
            <w:r>
              <w:rPr>
                <w:rFonts w:ascii="Arial" w:cs="Arial" w:eastAsia="Arial" w:hAnsi="Arial"/>
                <w:b w:val="false"/>
                <w:bCs w:val="false"/>
                <w:color w:val="0D1B2A"/>
                <w:sz w:val="20"/>
                <w:szCs w:val="20"/>
              </w:rPr>
              <w:t xml:space="preserve"> </w:t>
            </w:r>
          </w:p>
        </w:tc>
        <w:tc>
          <w:tcPr>
            <w:tcW w:type="dxa" w:w="9220"/>
            <w:tcBorders>
              <w:top w:val="none" w:color="FFFFFF" w:sz="0"/>
              <w:left w:val="none" w:color="FFFFFF" w:sz="0"/>
              <w:bottom w:val="none" w:color="FFFFFF" w:sz="0"/>
              <w:right w:val="none" w:color="FFFFFF" w:sz="0"/>
            </w:tcBorders>
            <w:shd w:fill="E0F5F1" w:val="clear"/>
            <w:tcMar>
              <w:top w:type="dxa" w:w="100"/>
              <w:left w:type="dxa" w:w="140"/>
              <w:bottom w:type="dxa" w:w="100"/>
              <w:right w:type="dxa" w:w="120"/>
            </w:tcMar>
          </w:tcPr>
          <w:p>
            <w:pPr>
              <w:spacing w:after="100" w:before="0"/>
              <w:jc w:val="left"/>
            </w:pPr>
            <w:r>
              <w:rPr>
                <w:rFonts w:ascii="Arial" w:cs="Arial" w:eastAsia="Arial" w:hAnsi="Arial"/>
                <w:b w:val="false"/>
                <w:bCs w:val="false"/>
                <w:color w:val="0D1B2A"/>
                <w:sz w:val="18"/>
                <w:szCs w:val="18"/>
              </w:rPr>
              <w:t xml:space="preserve">Tecnologia é habilitadora; pessoas são transformadoras. Uma cultura que pune o erro ou resiste à mudança inviabiliza qualquer iniciativa de IA — mesmo quando a empresa tem orçamento, dados e tecnologia.</w:t>
            </w:r>
          </w:p>
        </w:tc>
      </w:tr>
    </w:tbl>
    <w:p>
      <w:pPr>
        <w:spacing w:after="0" w:before="80"/>
      </w:pPr>
      <w:r>
        <w:rPr>
          <w:sz w:val="2"/>
          <w:szCs w:val="2"/>
        </w:rPr>
        <w:t xml:space="preserve"/>
      </w:r>
    </w:p>
    <w:p>
      <w:pPr>
        <w:pStyle w:val="Heading2"/>
        <w:spacing w:after="80" w:before="160"/>
      </w:pPr>
      <w:r>
        <w:rPr>
          <w:rFonts w:ascii="Arial" w:cs="Arial" w:eastAsia="Arial" w:hAnsi="Arial"/>
        </w:rPr>
        <w:t xml:space="preserve">O que queremos mostrar ao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5A623" w:val="clear"/>
            <w:tcMar>
              <w:top w:type="dxa" w:w="80"/>
              <w:left w:type="dxa" w:w="60"/>
              <w:bottom w:type="dxa" w:w="80"/>
              <w:right w:type="dxa" w:w="40"/>
            </w:tcMar>
          </w:tcPr>
          <w:p>
            <w:pPr>
              <w:spacing w:after="100" w:before="0"/>
              <w:jc w:val="center"/>
            </w:pPr>
            <w:r>
              <w:rPr>
                <w:rFonts w:ascii="Arial" w:cs="Arial" w:eastAsia="Arial" w:hAnsi="Arial"/>
                <w:b/>
                <w:bCs/>
                <w:color w:val="FFFFFF"/>
                <w:sz w:val="20"/>
                <w:szCs w:val="20"/>
              </w:rPr>
              <w:t xml:space="preserve">!</w:t>
            </w:r>
          </w:p>
        </w:tc>
        <w:tc>
          <w:tcPr>
            <w:tcW w:type="dxa" w:w="9160"/>
            <w:tcBorders>
              <w:top w:val="none" w:color="FFFFFF" w:sz="0"/>
              <w:left w:val="none" w:color="FFFFFF" w:sz="0"/>
              <w:bottom w:val="none" w:color="FFFFFF" w:sz="0"/>
              <w:right w:val="none" w:color="FFFFFF" w:sz="0"/>
            </w:tcBorders>
            <w:shd w:fill="FFF8EC" w:val="clear"/>
            <w:tcMar>
              <w:top w:type="dxa" w:w="90"/>
              <w:left w:type="dxa" w:w="140"/>
              <w:bottom w:type="dxa" w:w="90"/>
              <w:right w:type="dxa" w:w="120"/>
            </w:tcMar>
          </w:tcPr>
          <w:p>
            <w:pPr>
              <w:spacing w:after="100" w:before="0"/>
              <w:jc w:val="left"/>
            </w:pPr>
            <w:r>
              <w:rPr>
                <w:rFonts w:ascii="Arial" w:cs="Arial" w:eastAsia="Arial" w:hAnsi="Arial"/>
                <w:b w:val="false"/>
                <w:bCs w:val="false"/>
                <w:color w:val="0D1B2A"/>
                <w:sz w:val="18"/>
                <w:szCs w:val="18"/>
              </w:rPr>
              <w:t xml:space="preserve">Revelar se a empresa tem o ambiente humano necessário para que IA prospere. Score baixo aqui com score alto em Dados e Tecnologia (Dim 2) é o perfil clássico de empresa que investe em ferramentas mas não em pessoas — e vê seus projetos de IA falharem na adoção.</w:t>
            </w:r>
          </w:p>
        </w:tc>
      </w:tr>
    </w:tbl>
    <w:p>
      <w:pPr>
        <w:spacing w:after="0" w:before="80"/>
      </w:pPr>
      <w:r>
        <w:rPr>
          <w:sz w:val="2"/>
          <w:szCs w:val="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none" w:color="FFFFFF" w:sz="0"/>
              <w:left w:val="none" w:color="FFFFFF" w:sz="0"/>
              <w:bottom w:val="none" w:color="FFFFFF" w:sz="0"/>
              <w:right w:val="none" w:color="FFFFFF" w:sz="0"/>
            </w:tcBorders>
            <w:shd w:fill="0D1B2A" w:val="clear"/>
            <w:tcMar>
              <w:top w:type="dxa" w:w="120"/>
              <w:left w:type="dxa" w:w="100"/>
              <w:bottom w:type="dxa" w:w="120"/>
              <w:right w:type="dxa" w:w="80"/>
            </w:tcMar>
          </w:tcPr>
          <w:p>
            <w:pPr>
              <w:spacing w:after="100" w:before="0"/>
              <w:jc w:val="center"/>
            </w:pPr>
            <w:r>
              <w:rPr>
                <w:rFonts w:ascii="Arial" w:cs="Arial" w:eastAsia="Arial" w:hAnsi="Arial"/>
                <w:b/>
                <w:bCs/>
                <w:color w:val="FFFFFF"/>
                <w:sz w:val="28"/>
                <w:szCs w:val="28"/>
              </w:rPr>
              <w:t xml:space="preserve">D5</w:t>
            </w:r>
          </w:p>
        </w:tc>
        <w:tc>
          <w:tcPr>
            <w:tcW w:type="dxa" w:w="7560"/>
            <w:tcBorders>
              <w:top w:val="none" w:color="FFFFFF" w:sz="0"/>
              <w:left w:val="none" w:color="FFFFFF" w:sz="0"/>
              <w:bottom w:val="none" w:color="FFFFFF" w:sz="0"/>
              <w:right w:val="none" w:color="FFFFFF" w:sz="0"/>
            </w:tcBorders>
            <w:shd w:fill="0D1B2A" w:val="clear"/>
            <w:tcMar>
              <w:top w:type="dxa" w:w="100"/>
              <w:left w:type="dxa" w:w="140"/>
              <w:bottom w:type="dxa" w:w="100"/>
              <w:right w:type="dxa" w:w="100"/>
            </w:tcMar>
          </w:tcPr>
          <w:p>
            <w:pPr>
              <w:spacing w:after="100" w:before="0"/>
              <w:jc w:val="left"/>
            </w:pPr>
            <w:r>
              <w:rPr>
                <w:rFonts w:ascii="Arial" w:cs="Arial" w:eastAsia="Arial" w:hAnsi="Arial"/>
                <w:b/>
                <w:bCs/>
                <w:color w:val="FFFFFF"/>
                <w:sz w:val="26"/>
                <w:szCs w:val="26"/>
              </w:rPr>
              <w:t xml:space="preserve">Operações e Processos</w:t>
            </w:r>
          </w:p>
        </w:tc>
        <w:tc>
          <w:tcPr>
            <w:tcW w:type="dxa" w:w="1000"/>
            <w:tcBorders>
              <w:top w:val="none" w:color="FFFFFF" w:sz="0"/>
              <w:left w:val="none" w:color="FFFFFF" w:sz="0"/>
              <w:bottom w:val="none" w:color="FFFFFF" w:sz="0"/>
              <w:right w:val="none" w:color="FFFFFF" w:sz="0"/>
            </w:tcBorders>
            <w:shd w:fill="008F7A" w:val="clear"/>
            <w:tcMar>
              <w:top w:type="dxa" w:w="100"/>
              <w:left w:type="dxa" w:w="80"/>
              <w:bottom w:type="dxa" w:w="100"/>
              <w:right w:type="dxa" w:w="80"/>
            </w:tcMar>
          </w:tcPr>
          <w:p>
            <w:pPr>
              <w:spacing w:after="100" w:before="0"/>
              <w:jc w:val="center"/>
            </w:pPr>
            <w:r>
              <w:rPr>
                <w:rFonts w:ascii="Arial" w:cs="Arial" w:eastAsia="Arial" w:hAnsi="Arial"/>
                <w:b w:val="false"/>
                <w:bCs w:val="false"/>
                <w:color w:val="E0F5F1"/>
                <w:sz w:val="13"/>
                <w:szCs w:val="13"/>
              </w:rPr>
              <w:t xml:space="preserve">Peso</w:t>
            </w:r>
            <w:r>
              <w:rPr>
                <w:rFonts w:ascii="Arial" w:cs="Arial" w:eastAsia="Arial" w:hAnsi="Arial"/>
                <w:b/>
                <w:bCs/>
                <w:color w:val="FFFFFF"/>
                <w:sz w:val="22"/>
                <w:szCs w:val="22"/>
              </w:rPr>
              <w:t xml:space="preserve"> 6%</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D1B2A" w:val="clear"/>
            <w:tcMar>
              <w:top w:type="dxa" w:w="70"/>
              <w:left w:type="dxa" w:w="100"/>
              <w:bottom w:type="dxa" w:w="70"/>
              <w:right w:type="dxa" w:w="80"/>
            </w:tcMar>
          </w:tcPr>
          <w:p>
            <w:pPr>
              <w:spacing w:after="100" w:before="0"/>
              <w:jc w:val="center"/>
            </w:pPr>
            <w:r>
              <w:rPr>
                <w:rFonts w:ascii="Arial" w:cs="Arial" w:eastAsia="Arial" w:hAnsi="Arial"/>
                <w:b/>
                <w:bCs/>
                <w:color w:val="FFFFFF"/>
                <w:sz w:val="17"/>
                <w:szCs w:val="17"/>
              </w:rPr>
              <w:t xml:space="preserve">MIT CISR</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8F7A" w:val="clear"/>
            <w:tcMar>
              <w:top w:type="dxa" w:w="70"/>
              <w:left w:type="dxa" w:w="80"/>
              <w:bottom w:type="dxa" w:w="70"/>
              <w:right w:type="dxa" w:w="60"/>
            </w:tcMar>
          </w:tcPr>
          <w:p>
            <w:pPr>
              <w:spacing w:after="100" w:before="0"/>
              <w:jc w:val="center"/>
            </w:pPr>
            <w:r>
              <w:rPr>
                <w:rFonts w:ascii="Arial" w:cs="Arial" w:eastAsia="Arial" w:hAnsi="Arial"/>
                <w:b/>
                <w:bCs/>
                <w:color w:val="FFFFFF"/>
                <w:sz w:val="14"/>
                <w:szCs w:val="14"/>
              </w:rPr>
              <w:t xml:space="preserve">MIT</w:t>
            </w:r>
          </w:p>
        </w:tc>
        <w:tc>
          <w:tcPr>
            <w:tcW w:type="dxa" w:w="8960"/>
            <w:tcBorders>
              <w:top w:val="none" w:color="FFFFFF" w:sz="0"/>
              <w:left w:val="none" w:color="FFFFFF" w:sz="0"/>
              <w:bottom w:val="none" w:color="FFFFFF" w:sz="0"/>
              <w:right w:val="none" w:color="FFFFFF" w:sz="0"/>
            </w:tcBorders>
            <w:shd w:fill="E0F5F1" w:val="clear"/>
            <w:tcMar>
              <w:top w:type="dxa" w:w="70"/>
              <w:left w:type="dxa" w:w="120"/>
              <w:bottom w:type="dxa" w:w="70"/>
              <w:right w:type="dxa" w:w="100"/>
            </w:tcMar>
          </w:tcPr>
          <w:p>
            <w:pPr>
              <w:spacing w:after="100" w:before="0"/>
              <w:jc w:val="left"/>
            </w:pPr>
            <w:r>
              <w:rPr>
                <w:rFonts w:ascii="Arial" w:cs="Arial" w:eastAsia="Arial" w:hAnsi="Arial"/>
                <w:b/>
                <w:bCs/>
                <w:color w:val="008F7A"/>
                <w:sz w:val="17"/>
                <w:szCs w:val="17"/>
              </w:rPr>
              <w:t xml:space="preserve">Indicador central do Estágio 3. O MIT CISR define que organizações estruturadas têm MLOps básico implementado e modelos em produção com SLAs definidos.</w:t>
            </w:r>
          </w:p>
        </w:tc>
      </w:tr>
    </w:tbl>
    <w:p>
      <w:pPr>
        <w:spacing w:after="0" w:before="80"/>
      </w:pPr>
      <w:r>
        <w:rPr>
          <w:sz w:val="2"/>
          <w:szCs w:val="2"/>
        </w:rPr>
        <w:t xml:space="preserve"/>
      </w:r>
    </w:p>
    <w:p>
      <w:pPr>
        <w:pStyle w:val="Heading2"/>
        <w:spacing w:after="80" w:before="160"/>
      </w:pPr>
      <w:r>
        <w:rPr>
          <w:rFonts w:ascii="Arial" w:cs="Arial" w:eastAsia="Arial" w:hAnsi="Arial"/>
        </w:rPr>
        <w:t xml:space="preserve">De onde veio esta dimensão</w:t>
      </w:r>
    </w:p>
    <w:p>
      <w:pPr>
        <w:spacing w:after="120" w:before="0"/>
        <w:jc w:val="left"/>
      </w:pPr>
      <w:r>
        <w:rPr>
          <w:rFonts w:ascii="Arial" w:cs="Arial" w:eastAsia="Arial" w:hAnsi="Arial"/>
          <w:b w:val="false"/>
          <w:bCs w:val="false"/>
          <w:color w:val="0D1B2A"/>
          <w:sz w:val="20"/>
          <w:szCs w:val="20"/>
        </w:rPr>
        <w:t xml:space="preserve">Derivada diretamente do modelo MIT CISR, que avalia a capacidade operacional como o principal diferencial entre empresas que têm IA em laboratório e empresas que têm IA gerando valor em produção. Esta dimensão foca no ciclo de vida completo do modelo: do deploy ao monitoramento contínuo, passando pela integração com sistemas legados e pela automação de processos. O MIT CISR (Estágio 4) exige que IA esteja integrada aos processos críticos de negócio — esta dimensão mede o caminho até lá.</w:t>
      </w:r>
    </w:p>
    <w:p>
      <w:pPr>
        <w:pStyle w:val="Heading2"/>
        <w:spacing w:after="80" w:before="160"/>
      </w:pPr>
      <w:r>
        <w:rPr>
          <w:rFonts w:ascii="Arial" w:cs="Arial" w:eastAsia="Arial" w:hAnsi="Arial"/>
        </w:rPr>
        <w:t xml:space="preserve">Critérios avaliados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Modelos de IA em produção (não apenas em POC ou piloto)</w:t>
            </w:r>
          </w:p>
          <w:p>
            <w:pPr>
              <w:pStyle w:val="ListParagraph"/>
              <w:numPr>
                <w:ilvl w:val="0"/>
                <w:numId w:val="2"/>
              </w:numPr>
              <w:spacing w:after="30" w:before="30"/>
            </w:pPr>
            <w:r>
              <w:rPr>
                <w:rFonts w:ascii="Arial" w:cs="Arial" w:eastAsia="Arial" w:hAnsi="Arial"/>
                <w:b w:val="false"/>
                <w:bCs w:val="false"/>
                <w:color w:val="0D1B2A"/>
                <w:sz w:val="18"/>
                <w:szCs w:val="18"/>
              </w:rPr>
              <w:t xml:space="preserve">Automação de processos com IA: RPA + LLMs + agentes autônomos</w:t>
            </w:r>
          </w:p>
          <w:p>
            <w:pPr>
              <w:pStyle w:val="ListParagraph"/>
              <w:numPr>
                <w:ilvl w:val="0"/>
                <w:numId w:val="2"/>
              </w:numPr>
              <w:spacing w:after="30" w:before="30"/>
            </w:pPr>
            <w:r>
              <w:rPr>
                <w:rFonts w:ascii="Arial" w:cs="Arial" w:eastAsia="Arial" w:hAnsi="Arial"/>
                <w:b w:val="false"/>
                <w:bCs w:val="false"/>
                <w:color w:val="0D1B2A"/>
                <w:sz w:val="18"/>
                <w:szCs w:val="18"/>
              </w:rPr>
              <w:t xml:space="preserve">SLAs definidos e monitorados para modelos em produção</w:t>
            </w:r>
          </w:p>
        </w:tc>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Integração com sistemas legados: ERP, CRM, plataformas core</w:t>
            </w:r>
          </w:p>
          <w:p>
            <w:pPr>
              <w:pStyle w:val="ListParagraph"/>
              <w:numPr>
                <w:ilvl w:val="0"/>
                <w:numId w:val="2"/>
              </w:numPr>
              <w:spacing w:after="30" w:before="30"/>
            </w:pPr>
            <w:r>
              <w:rPr>
                <w:rFonts w:ascii="Arial" w:cs="Arial" w:eastAsia="Arial" w:hAnsi="Arial"/>
                <w:b w:val="false"/>
                <w:bCs w:val="false"/>
                <w:color w:val="0D1B2A"/>
                <w:sz w:val="18"/>
                <w:szCs w:val="18"/>
              </w:rPr>
              <w:t xml:space="preserve">Deploy contínuo para modelos: CI/CD específico para IA</w:t>
            </w:r>
          </w:p>
          <w:p>
            <w:pPr>
              <w:pStyle w:val="ListParagraph"/>
              <w:numPr>
                <w:ilvl w:val="0"/>
                <w:numId w:val="2"/>
              </w:numPr>
              <w:spacing w:after="30" w:before="30"/>
            </w:pPr>
            <w:r>
              <w:rPr>
                <w:rFonts w:ascii="Arial" w:cs="Arial" w:eastAsia="Arial" w:hAnsi="Arial"/>
                <w:b w:val="false"/>
                <w:bCs w:val="false"/>
                <w:color w:val="0D1B2A"/>
                <w:sz w:val="18"/>
                <w:szCs w:val="18"/>
              </w:rPr>
              <w:t xml:space="preserve">Monitoramento de performance: drift detection, alertas automáticos</w:t>
            </w:r>
          </w:p>
        </w:tc>
      </w:tr>
    </w:tbl>
    <w:p>
      <w:pPr>
        <w:spacing w:after="0" w:before="80"/>
      </w:pPr>
      <w:r>
        <w:rPr>
          <w:sz w:val="2"/>
          <w:szCs w:val="2"/>
        </w:rPr>
        <w:t xml:space="preserve"/>
      </w:r>
    </w:p>
    <w:p>
      <w:pPr>
        <w:pStyle w:val="Heading2"/>
        <w:spacing w:after="80" w:before="160"/>
      </w:pPr>
      <w:r>
        <w:rPr>
          <w:rFonts w:ascii="Arial" w:cs="Arial" w:eastAsia="Arial" w:hAnsi="Arial"/>
        </w:rPr>
        <w:t xml:space="preserve">Por que esta dimensão importa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008F7A" w:val="clear"/>
            <w:tcMar>
              <w:top w:type="dxa" w:w="80"/>
              <w:left w:type="dxa" w:w="60"/>
              <w:bottom w:type="dxa" w:w="80"/>
              <w:right w:type="dxa" w:w="40"/>
            </w:tcMar>
          </w:tcPr>
          <w:p>
            <w:pPr>
              <w:spacing w:after="100" w:before="0"/>
              <w:jc w:val="left"/>
            </w:pPr>
            <w:r>
              <w:rPr>
                <w:rFonts w:ascii="Arial" w:cs="Arial" w:eastAsia="Arial" w:hAnsi="Arial"/>
                <w:b w:val="false"/>
                <w:bCs w:val="false"/>
                <w:color w:val="0D1B2A"/>
                <w:sz w:val="20"/>
                <w:szCs w:val="20"/>
              </w:rPr>
              <w:t xml:space="preserve"> </w:t>
            </w:r>
          </w:p>
        </w:tc>
        <w:tc>
          <w:tcPr>
            <w:tcW w:type="dxa" w:w="9220"/>
            <w:tcBorders>
              <w:top w:val="none" w:color="FFFFFF" w:sz="0"/>
              <w:left w:val="none" w:color="FFFFFF" w:sz="0"/>
              <w:bottom w:val="none" w:color="FFFFFF" w:sz="0"/>
              <w:right w:val="none" w:color="FFFFFF" w:sz="0"/>
            </w:tcBorders>
            <w:shd w:fill="E0F5F1" w:val="clear"/>
            <w:tcMar>
              <w:top w:type="dxa" w:w="100"/>
              <w:left w:type="dxa" w:w="140"/>
              <w:bottom w:type="dxa" w:w="100"/>
              <w:right w:type="dxa" w:w="120"/>
            </w:tcMar>
          </w:tcPr>
          <w:p>
            <w:pPr>
              <w:spacing w:after="100" w:before="0"/>
              <w:jc w:val="left"/>
            </w:pPr>
            <w:r>
              <w:rPr>
                <w:rFonts w:ascii="Arial" w:cs="Arial" w:eastAsia="Arial" w:hAnsi="Arial"/>
                <w:b w:val="false"/>
                <w:bCs w:val="false"/>
                <w:color w:val="0D1B2A"/>
                <w:sz w:val="18"/>
                <w:szCs w:val="18"/>
              </w:rPr>
              <w:t xml:space="preserve">IA que não chega à produção não gera valor. A capacidade de operacionalizar modelos de forma confiável, escalável e monitorada é o principal diferencial competitivo de empresas maduras em IA.</w:t>
            </w:r>
          </w:p>
        </w:tc>
      </w:tr>
    </w:tbl>
    <w:p>
      <w:pPr>
        <w:spacing w:after="0" w:before="80"/>
      </w:pPr>
      <w:r>
        <w:rPr>
          <w:sz w:val="2"/>
          <w:szCs w:val="2"/>
        </w:rPr>
        <w:t xml:space="preserve"/>
      </w:r>
    </w:p>
    <w:p>
      <w:pPr>
        <w:pStyle w:val="Heading2"/>
        <w:spacing w:after="80" w:before="160"/>
      </w:pPr>
      <w:r>
        <w:rPr>
          <w:rFonts w:ascii="Arial" w:cs="Arial" w:eastAsia="Arial" w:hAnsi="Arial"/>
        </w:rPr>
        <w:t xml:space="preserve">O que queremos mostrar ao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5A623" w:val="clear"/>
            <w:tcMar>
              <w:top w:type="dxa" w:w="80"/>
              <w:left w:type="dxa" w:w="60"/>
              <w:bottom w:type="dxa" w:w="80"/>
              <w:right w:type="dxa" w:w="40"/>
            </w:tcMar>
          </w:tcPr>
          <w:p>
            <w:pPr>
              <w:spacing w:after="100" w:before="0"/>
              <w:jc w:val="center"/>
            </w:pPr>
            <w:r>
              <w:rPr>
                <w:rFonts w:ascii="Arial" w:cs="Arial" w:eastAsia="Arial" w:hAnsi="Arial"/>
                <w:b/>
                <w:bCs/>
                <w:color w:val="FFFFFF"/>
                <w:sz w:val="20"/>
                <w:szCs w:val="20"/>
              </w:rPr>
              <w:t xml:space="preserve">!</w:t>
            </w:r>
          </w:p>
        </w:tc>
        <w:tc>
          <w:tcPr>
            <w:tcW w:type="dxa" w:w="9160"/>
            <w:tcBorders>
              <w:top w:val="none" w:color="FFFFFF" w:sz="0"/>
              <w:left w:val="none" w:color="FFFFFF" w:sz="0"/>
              <w:bottom w:val="none" w:color="FFFFFF" w:sz="0"/>
              <w:right w:val="none" w:color="FFFFFF" w:sz="0"/>
            </w:tcBorders>
            <w:shd w:fill="FFF8EC" w:val="clear"/>
            <w:tcMar>
              <w:top w:type="dxa" w:w="90"/>
              <w:left w:type="dxa" w:w="140"/>
              <w:bottom w:type="dxa" w:w="90"/>
              <w:right w:type="dxa" w:w="120"/>
            </w:tcMar>
          </w:tcPr>
          <w:p>
            <w:pPr>
              <w:spacing w:after="100" w:before="0"/>
              <w:jc w:val="left"/>
            </w:pPr>
            <w:r>
              <w:rPr>
                <w:rFonts w:ascii="Arial" w:cs="Arial" w:eastAsia="Arial" w:hAnsi="Arial"/>
                <w:b w:val="false"/>
                <w:bCs w:val="false"/>
                <w:color w:val="0D1B2A"/>
                <w:sz w:val="18"/>
                <w:szCs w:val="18"/>
              </w:rPr>
              <w:t xml:space="preserve">Mostrar a distância entre intenção e execução. Muitas empresas têm muitos pilotos e poucos modelos em produção. Score baixo aqui revela que a empresa está presa no 'piloto eterno' — fenômeno documentado pelo Gartner como responsável pela maioria dos fracassos em IA empresarial.</w:t>
            </w:r>
          </w:p>
        </w:tc>
      </w:tr>
    </w:tbl>
    <w:p>
      <w:pPr>
        <w:spacing w:after="0" w:before="80"/>
      </w:pPr>
      <w:r>
        <w:rPr>
          <w:sz w:val="2"/>
          <w:szCs w:val="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none" w:color="FFFFFF" w:sz="0"/>
              <w:left w:val="none" w:color="FFFFFF" w:sz="0"/>
              <w:bottom w:val="none" w:color="FFFFFF" w:sz="0"/>
              <w:right w:val="none" w:color="FFFFFF" w:sz="0"/>
            </w:tcBorders>
            <w:shd w:fill="008F7A" w:val="clear"/>
            <w:tcMar>
              <w:top w:type="dxa" w:w="120"/>
              <w:left w:type="dxa" w:w="100"/>
              <w:bottom w:type="dxa" w:w="120"/>
              <w:right w:type="dxa" w:w="80"/>
            </w:tcMar>
          </w:tcPr>
          <w:p>
            <w:pPr>
              <w:spacing w:after="100" w:before="0"/>
              <w:jc w:val="center"/>
            </w:pPr>
            <w:r>
              <w:rPr>
                <w:rFonts w:ascii="Arial" w:cs="Arial" w:eastAsia="Arial" w:hAnsi="Arial"/>
                <w:b/>
                <w:bCs/>
                <w:color w:val="FFFFFF"/>
                <w:sz w:val="28"/>
                <w:szCs w:val="28"/>
              </w:rPr>
              <w:t xml:space="preserve">D6</w:t>
            </w:r>
          </w:p>
        </w:tc>
        <w:tc>
          <w:tcPr>
            <w:tcW w:type="dxa" w:w="7560"/>
            <w:tcBorders>
              <w:top w:val="none" w:color="FFFFFF" w:sz="0"/>
              <w:left w:val="none" w:color="FFFFFF" w:sz="0"/>
              <w:bottom w:val="none" w:color="FFFFFF" w:sz="0"/>
              <w:right w:val="none" w:color="FFFFFF" w:sz="0"/>
            </w:tcBorders>
            <w:shd w:fill="0D1B2A" w:val="clear"/>
            <w:tcMar>
              <w:top w:type="dxa" w:w="100"/>
              <w:left w:type="dxa" w:w="140"/>
              <w:bottom w:type="dxa" w:w="100"/>
              <w:right w:type="dxa" w:w="100"/>
            </w:tcMar>
          </w:tcPr>
          <w:p>
            <w:pPr>
              <w:spacing w:after="100" w:before="0"/>
              <w:jc w:val="left"/>
            </w:pPr>
            <w:r>
              <w:rPr>
                <w:rFonts w:ascii="Arial" w:cs="Arial" w:eastAsia="Arial" w:hAnsi="Arial"/>
                <w:b/>
                <w:bCs/>
                <w:color w:val="FFFFFF"/>
                <w:sz w:val="26"/>
                <w:szCs w:val="26"/>
              </w:rPr>
              <w:t xml:space="preserve">Inovação e Experimentação</w:t>
            </w:r>
          </w:p>
        </w:tc>
        <w:tc>
          <w:tcPr>
            <w:tcW w:type="dxa" w:w="1000"/>
            <w:tcBorders>
              <w:top w:val="none" w:color="FFFFFF" w:sz="0"/>
              <w:left w:val="none" w:color="FFFFFF" w:sz="0"/>
              <w:bottom w:val="none" w:color="FFFFFF" w:sz="0"/>
              <w:right w:val="none" w:color="FFFFFF" w:sz="0"/>
            </w:tcBorders>
            <w:shd w:fill="008F7A" w:val="clear"/>
            <w:tcMar>
              <w:top w:type="dxa" w:w="100"/>
              <w:left w:type="dxa" w:w="80"/>
              <w:bottom w:type="dxa" w:w="100"/>
              <w:right w:type="dxa" w:w="80"/>
            </w:tcMar>
          </w:tcPr>
          <w:p>
            <w:pPr>
              <w:spacing w:after="100" w:before="0"/>
              <w:jc w:val="center"/>
            </w:pPr>
            <w:r>
              <w:rPr>
                <w:rFonts w:ascii="Arial" w:cs="Arial" w:eastAsia="Arial" w:hAnsi="Arial"/>
                <w:b w:val="false"/>
                <w:bCs w:val="false"/>
                <w:color w:val="E0F5F1"/>
                <w:sz w:val="13"/>
                <w:szCs w:val="13"/>
              </w:rPr>
              <w:t xml:space="preserve">Peso</w:t>
            </w:r>
            <w:r>
              <w:rPr>
                <w:rFonts w:ascii="Arial" w:cs="Arial" w:eastAsia="Arial" w:hAnsi="Arial"/>
                <w:b/>
                <w:bCs/>
                <w:color w:val="FFFFFF"/>
                <w:sz w:val="22"/>
                <w:szCs w:val="22"/>
              </w:rPr>
              <w:t xml:space="preserve"> 6%</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D1B2A" w:val="clear"/>
            <w:tcMar>
              <w:top w:type="dxa" w:w="70"/>
              <w:left w:type="dxa" w:w="100"/>
              <w:bottom w:type="dxa" w:w="70"/>
              <w:right w:type="dxa" w:w="80"/>
            </w:tcMar>
          </w:tcPr>
          <w:p>
            <w:pPr>
              <w:spacing w:after="100" w:before="0"/>
              <w:jc w:val="center"/>
            </w:pPr>
            <w:r>
              <w:rPr>
                <w:rFonts w:ascii="Arial" w:cs="Arial" w:eastAsia="Arial" w:hAnsi="Arial"/>
                <w:b/>
                <w:bCs/>
                <w:color w:val="FFFFFF"/>
                <w:sz w:val="17"/>
                <w:szCs w:val="17"/>
              </w:rPr>
              <w:t xml:space="preserve">MIT CISR</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8F7A" w:val="clear"/>
            <w:tcMar>
              <w:top w:type="dxa" w:w="70"/>
              <w:left w:type="dxa" w:w="80"/>
              <w:bottom w:type="dxa" w:w="70"/>
              <w:right w:type="dxa" w:w="60"/>
            </w:tcMar>
          </w:tcPr>
          <w:p>
            <w:pPr>
              <w:spacing w:after="100" w:before="0"/>
              <w:jc w:val="center"/>
            </w:pPr>
            <w:r>
              <w:rPr>
                <w:rFonts w:ascii="Arial" w:cs="Arial" w:eastAsia="Arial" w:hAnsi="Arial"/>
                <w:b/>
                <w:bCs/>
                <w:color w:val="FFFFFF"/>
                <w:sz w:val="14"/>
                <w:szCs w:val="14"/>
              </w:rPr>
              <w:t xml:space="preserve">MIT</w:t>
            </w:r>
          </w:p>
        </w:tc>
        <w:tc>
          <w:tcPr>
            <w:tcW w:type="dxa" w:w="8960"/>
            <w:tcBorders>
              <w:top w:val="none" w:color="FFFFFF" w:sz="0"/>
              <w:left w:val="none" w:color="FFFFFF" w:sz="0"/>
              <w:bottom w:val="none" w:color="FFFFFF" w:sz="0"/>
              <w:right w:val="none" w:color="FFFFFF" w:sz="0"/>
            </w:tcBorders>
            <w:shd w:fill="E0F5F1" w:val="clear"/>
            <w:tcMar>
              <w:top w:type="dxa" w:w="70"/>
              <w:left w:type="dxa" w:w="120"/>
              <w:bottom w:type="dxa" w:w="70"/>
              <w:right w:type="dxa" w:w="100"/>
            </w:tcMar>
          </w:tcPr>
          <w:p>
            <w:pPr>
              <w:spacing w:after="100" w:before="0"/>
              <w:jc w:val="left"/>
            </w:pPr>
            <w:r>
              <w:rPr>
                <w:rFonts w:ascii="Arial" w:cs="Arial" w:eastAsia="Arial" w:hAnsi="Arial"/>
                <w:b/>
                <w:bCs/>
                <w:color w:val="008F7A"/>
                <w:sz w:val="17"/>
                <w:szCs w:val="17"/>
              </w:rPr>
              <w:t xml:space="preserve">Característica definitória do Estágio 5 (Otimizado). O MIT CISR descreve organizações no nível máximo como aquelas com 'cultura de experimentação pervasiva' e 'inovação contínua'.</w:t>
            </w:r>
          </w:p>
        </w:tc>
      </w:tr>
    </w:tbl>
    <w:p>
      <w:pPr>
        <w:spacing w:after="0" w:before="80"/>
      </w:pPr>
      <w:r>
        <w:rPr>
          <w:sz w:val="2"/>
          <w:szCs w:val="2"/>
        </w:rPr>
        <w:t xml:space="preserve"/>
      </w:r>
    </w:p>
    <w:p>
      <w:pPr>
        <w:pStyle w:val="Heading2"/>
        <w:spacing w:after="80" w:before="160"/>
      </w:pPr>
      <w:r>
        <w:rPr>
          <w:rFonts w:ascii="Arial" w:cs="Arial" w:eastAsia="Arial" w:hAnsi="Arial"/>
        </w:rPr>
        <w:t xml:space="preserve">De onde veio esta dimensão</w:t>
      </w:r>
    </w:p>
    <w:p>
      <w:pPr>
        <w:spacing w:after="120" w:before="0"/>
        <w:jc w:val="left"/>
      </w:pPr>
      <w:r>
        <w:rPr>
          <w:rFonts w:ascii="Arial" w:cs="Arial" w:eastAsia="Arial" w:hAnsi="Arial"/>
          <w:b w:val="false"/>
          <w:bCs w:val="false"/>
          <w:color w:val="0D1B2A"/>
          <w:sz w:val="20"/>
          <w:szCs w:val="20"/>
        </w:rPr>
        <w:t xml:space="preserve">O MIT CISR estabelece que organizações otimizadas diferem das gerenciadas pela capacidade sistemática de experimentar com novas tecnologias de IA antes que se tornem commodity. Não se trata de ter um laboratório de inovação — trata-se de ter processos, infraestrutura e cultura que permitem testar, falhar rápido e escalar o que funciona. Esta dimensão mede a capacidade de inovação deliberada, não o interesse declarado.</w:t>
      </w:r>
    </w:p>
    <w:p>
      <w:pPr>
        <w:pStyle w:val="Heading2"/>
        <w:spacing w:after="80" w:before="160"/>
      </w:pPr>
      <w:r>
        <w:rPr>
          <w:rFonts w:ascii="Arial" w:cs="Arial" w:eastAsia="Arial" w:hAnsi="Arial"/>
        </w:rPr>
        <w:t xml:space="preserve">Critérios avaliados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Labs ou sandboxes dedicados a experimentos de IA sem impacto na produção</w:t>
            </w:r>
          </w:p>
          <w:p>
            <w:pPr>
              <w:pStyle w:val="ListParagraph"/>
              <w:numPr>
                <w:ilvl w:val="0"/>
                <w:numId w:val="2"/>
              </w:numPr>
              <w:spacing w:after="30" w:before="30"/>
            </w:pPr>
            <w:r>
              <w:rPr>
                <w:rFonts w:ascii="Arial" w:cs="Arial" w:eastAsia="Arial" w:hAnsi="Arial"/>
                <w:b w:val="false"/>
                <w:bCs w:val="false"/>
                <w:color w:val="0D1B2A"/>
                <w:sz w:val="18"/>
                <w:szCs w:val="18"/>
              </w:rPr>
              <w:t xml:space="preserve">Processos para prototipar e validar ideias em menos de 4 semanas</w:t>
            </w:r>
          </w:p>
          <w:p>
            <w:pPr>
              <w:pStyle w:val="ListParagraph"/>
              <w:numPr>
                <w:ilvl w:val="0"/>
                <w:numId w:val="2"/>
              </w:numPr>
              <w:spacing w:after="30" w:before="30"/>
            </w:pPr>
            <w:r>
              <w:rPr>
                <w:rFonts w:ascii="Arial" w:cs="Arial" w:eastAsia="Arial" w:hAnsi="Arial"/>
                <w:b w:val="false"/>
                <w:bCs w:val="false"/>
                <w:color w:val="0D1B2A"/>
                <w:sz w:val="18"/>
                <w:szCs w:val="18"/>
              </w:rPr>
              <w:t xml:space="preserve">Acompanhamento sistemático de novas tecnologias (GenAI, agentes, multimodal)</w:t>
            </w:r>
          </w:p>
        </w:tc>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Parcerias ativas com academia, startups e comunidades de pesquisa</w:t>
            </w:r>
          </w:p>
          <w:p>
            <w:pPr>
              <w:pStyle w:val="ListParagraph"/>
              <w:numPr>
                <w:ilvl w:val="0"/>
                <w:numId w:val="2"/>
              </w:numPr>
              <w:spacing w:after="30" w:before="30"/>
            </w:pPr>
            <w:r>
              <w:rPr>
                <w:rFonts w:ascii="Arial" w:cs="Arial" w:eastAsia="Arial" w:hAnsi="Arial"/>
                <w:b w:val="false"/>
                <w:bCs w:val="false"/>
                <w:color w:val="0D1B2A"/>
                <w:sz w:val="18"/>
                <w:szCs w:val="18"/>
              </w:rPr>
              <w:t xml:space="preserve">Capacidade de escalar experimentos bem-sucedidos para produção</w:t>
            </w:r>
          </w:p>
          <w:p>
            <w:pPr>
              <w:pStyle w:val="ListParagraph"/>
              <w:numPr>
                <w:ilvl w:val="0"/>
                <w:numId w:val="2"/>
              </w:numPr>
              <w:spacing w:after="30" w:before="30"/>
            </w:pPr>
            <w:r>
              <w:rPr>
                <w:rFonts w:ascii="Arial" w:cs="Arial" w:eastAsia="Arial" w:hAnsi="Arial"/>
                <w:b w:val="false"/>
                <w:bCs w:val="false"/>
                <w:color w:val="0D1B2A"/>
                <w:sz w:val="18"/>
                <w:szCs w:val="18"/>
              </w:rPr>
              <w:t xml:space="preserve">Contribuição para comunidade: publicações, open source, conferências</w:t>
            </w:r>
          </w:p>
        </w:tc>
      </w:tr>
    </w:tbl>
    <w:p>
      <w:pPr>
        <w:spacing w:after="0" w:before="80"/>
      </w:pPr>
      <w:r>
        <w:rPr>
          <w:sz w:val="2"/>
          <w:szCs w:val="2"/>
        </w:rPr>
        <w:t xml:space="preserve"/>
      </w:r>
    </w:p>
    <w:p>
      <w:pPr>
        <w:pStyle w:val="Heading2"/>
        <w:spacing w:after="80" w:before="160"/>
      </w:pPr>
      <w:r>
        <w:rPr>
          <w:rFonts w:ascii="Arial" w:cs="Arial" w:eastAsia="Arial" w:hAnsi="Arial"/>
        </w:rPr>
        <w:t xml:space="preserve">Por que esta dimensão importa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008F7A" w:val="clear"/>
            <w:tcMar>
              <w:top w:type="dxa" w:w="80"/>
              <w:left w:type="dxa" w:w="60"/>
              <w:bottom w:type="dxa" w:w="80"/>
              <w:right w:type="dxa" w:w="40"/>
            </w:tcMar>
          </w:tcPr>
          <w:p>
            <w:pPr>
              <w:spacing w:after="100" w:before="0"/>
              <w:jc w:val="left"/>
            </w:pPr>
            <w:r>
              <w:rPr>
                <w:rFonts w:ascii="Arial" w:cs="Arial" w:eastAsia="Arial" w:hAnsi="Arial"/>
                <w:b w:val="false"/>
                <w:bCs w:val="false"/>
                <w:color w:val="0D1B2A"/>
                <w:sz w:val="20"/>
                <w:szCs w:val="20"/>
              </w:rPr>
              <w:t xml:space="preserve"> </w:t>
            </w:r>
          </w:p>
        </w:tc>
        <w:tc>
          <w:tcPr>
            <w:tcW w:type="dxa" w:w="9220"/>
            <w:tcBorders>
              <w:top w:val="none" w:color="FFFFFF" w:sz="0"/>
              <w:left w:val="none" w:color="FFFFFF" w:sz="0"/>
              <w:bottom w:val="none" w:color="FFFFFF" w:sz="0"/>
              <w:right w:val="none" w:color="FFFFFF" w:sz="0"/>
            </w:tcBorders>
            <w:shd w:fill="E0F5F1" w:val="clear"/>
            <w:tcMar>
              <w:top w:type="dxa" w:w="100"/>
              <w:left w:type="dxa" w:w="140"/>
              <w:bottom w:type="dxa" w:w="100"/>
              <w:right w:type="dxa" w:w="120"/>
            </w:tcMar>
          </w:tcPr>
          <w:p>
            <w:pPr>
              <w:spacing w:after="100" w:before="0"/>
              <w:jc w:val="left"/>
            </w:pPr>
            <w:r>
              <w:rPr>
                <w:rFonts w:ascii="Arial" w:cs="Arial" w:eastAsia="Arial" w:hAnsi="Arial"/>
                <w:b w:val="false"/>
                <w:bCs w:val="false"/>
                <w:color w:val="0D1B2A"/>
                <w:sz w:val="18"/>
                <w:szCs w:val="18"/>
              </w:rPr>
              <w:t xml:space="preserve">IA evolui exponencialmente. Organizações que não experimentam continuamente ficam para trás em 12–18 meses. A janela de vantagem competitiva com novas tecnologias de IA é curta.</w:t>
            </w:r>
          </w:p>
        </w:tc>
      </w:tr>
    </w:tbl>
    <w:p>
      <w:pPr>
        <w:spacing w:after="0" w:before="80"/>
      </w:pPr>
      <w:r>
        <w:rPr>
          <w:sz w:val="2"/>
          <w:szCs w:val="2"/>
        </w:rPr>
        <w:t xml:space="preserve"/>
      </w:r>
    </w:p>
    <w:p>
      <w:pPr>
        <w:pStyle w:val="Heading2"/>
        <w:spacing w:after="80" w:before="160"/>
      </w:pPr>
      <w:r>
        <w:rPr>
          <w:rFonts w:ascii="Arial" w:cs="Arial" w:eastAsia="Arial" w:hAnsi="Arial"/>
        </w:rPr>
        <w:t xml:space="preserve">O que queremos mostrar ao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5A623" w:val="clear"/>
            <w:tcMar>
              <w:top w:type="dxa" w:w="80"/>
              <w:left w:type="dxa" w:w="60"/>
              <w:bottom w:type="dxa" w:w="80"/>
              <w:right w:type="dxa" w:w="40"/>
            </w:tcMar>
          </w:tcPr>
          <w:p>
            <w:pPr>
              <w:spacing w:after="100" w:before="0"/>
              <w:jc w:val="center"/>
            </w:pPr>
            <w:r>
              <w:rPr>
                <w:rFonts w:ascii="Arial" w:cs="Arial" w:eastAsia="Arial" w:hAnsi="Arial"/>
                <w:b/>
                <w:bCs/>
                <w:color w:val="FFFFFF"/>
                <w:sz w:val="20"/>
                <w:szCs w:val="20"/>
              </w:rPr>
              <w:t xml:space="preserve">!</w:t>
            </w:r>
          </w:p>
        </w:tc>
        <w:tc>
          <w:tcPr>
            <w:tcW w:type="dxa" w:w="9160"/>
            <w:tcBorders>
              <w:top w:val="none" w:color="FFFFFF" w:sz="0"/>
              <w:left w:val="none" w:color="FFFFFF" w:sz="0"/>
              <w:bottom w:val="none" w:color="FFFFFF" w:sz="0"/>
              <w:right w:val="none" w:color="FFFFFF" w:sz="0"/>
            </w:tcBorders>
            <w:shd w:fill="FFF8EC" w:val="clear"/>
            <w:tcMar>
              <w:top w:type="dxa" w:w="90"/>
              <w:left w:type="dxa" w:w="140"/>
              <w:bottom w:type="dxa" w:w="90"/>
              <w:right w:type="dxa" w:w="120"/>
            </w:tcMar>
          </w:tcPr>
          <w:p>
            <w:pPr>
              <w:spacing w:after="100" w:before="0"/>
              <w:jc w:val="left"/>
            </w:pPr>
            <w:r>
              <w:rPr>
                <w:rFonts w:ascii="Arial" w:cs="Arial" w:eastAsia="Arial" w:hAnsi="Arial"/>
                <w:b w:val="false"/>
                <w:bCs w:val="false"/>
                <w:color w:val="0D1B2A"/>
                <w:sz w:val="18"/>
                <w:szCs w:val="18"/>
              </w:rPr>
              <w:t xml:space="preserve">Identificar se a empresa é seguidora ou criadora. Score baixo revela dependência de fornecedores e lentidão para adotar novas capacidades de IA — o que, no ciclo atual de 6 meses para cada nova geração de modelos, é uma desvantagem estrutural crescente.</w:t>
            </w:r>
          </w:p>
        </w:tc>
      </w:tr>
    </w:tbl>
    <w:p>
      <w:pPr>
        <w:spacing w:after="0" w:before="80"/>
      </w:pPr>
      <w:r>
        <w:rPr>
          <w:sz w:val="2"/>
          <w:szCs w:val="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none" w:color="FFFFFF" w:sz="0"/>
              <w:left w:val="none" w:color="FFFFFF" w:sz="0"/>
              <w:bottom w:val="none" w:color="FFFFFF" w:sz="0"/>
              <w:right w:val="none" w:color="FFFFFF" w:sz="0"/>
            </w:tcBorders>
            <w:shd w:fill="1E8449" w:val="clear"/>
            <w:tcMar>
              <w:top w:type="dxa" w:w="120"/>
              <w:left w:type="dxa" w:w="100"/>
              <w:bottom w:type="dxa" w:w="120"/>
              <w:right w:type="dxa" w:w="80"/>
            </w:tcMar>
          </w:tcPr>
          <w:p>
            <w:pPr>
              <w:spacing w:after="100" w:before="0"/>
              <w:jc w:val="center"/>
            </w:pPr>
            <w:r>
              <w:rPr>
                <w:rFonts w:ascii="Arial" w:cs="Arial" w:eastAsia="Arial" w:hAnsi="Arial"/>
                <w:b/>
                <w:bCs/>
                <w:color w:val="FFFFFF"/>
                <w:sz w:val="28"/>
                <w:szCs w:val="28"/>
              </w:rPr>
              <w:t xml:space="preserve">D7</w:t>
            </w:r>
          </w:p>
        </w:tc>
        <w:tc>
          <w:tcPr>
            <w:tcW w:type="dxa" w:w="7560"/>
            <w:tcBorders>
              <w:top w:val="none" w:color="FFFFFF" w:sz="0"/>
              <w:left w:val="none" w:color="FFFFFF" w:sz="0"/>
              <w:bottom w:val="none" w:color="FFFFFF" w:sz="0"/>
              <w:right w:val="none" w:color="FFFFFF" w:sz="0"/>
            </w:tcBorders>
            <w:shd w:fill="0D1B2A" w:val="clear"/>
            <w:tcMar>
              <w:top w:type="dxa" w:w="100"/>
              <w:left w:type="dxa" w:w="140"/>
              <w:bottom w:type="dxa" w:w="100"/>
              <w:right w:type="dxa" w:w="100"/>
            </w:tcMar>
          </w:tcPr>
          <w:p>
            <w:pPr>
              <w:spacing w:after="100" w:before="0"/>
              <w:jc w:val="left"/>
            </w:pPr>
            <w:r>
              <w:rPr>
                <w:rFonts w:ascii="Arial" w:cs="Arial" w:eastAsia="Arial" w:hAnsi="Arial"/>
                <w:b/>
                <w:bCs/>
                <w:color w:val="FFFFFF"/>
                <w:sz w:val="26"/>
                <w:szCs w:val="26"/>
              </w:rPr>
              <w:t xml:space="preserve">Valor de Negócio e ROI</w:t>
            </w:r>
          </w:p>
        </w:tc>
        <w:tc>
          <w:tcPr>
            <w:tcW w:type="dxa" w:w="1000"/>
            <w:tcBorders>
              <w:top w:val="none" w:color="FFFFFF" w:sz="0"/>
              <w:left w:val="none" w:color="FFFFFF" w:sz="0"/>
              <w:bottom w:val="none" w:color="FFFFFF" w:sz="0"/>
              <w:right w:val="none" w:color="FFFFFF" w:sz="0"/>
            </w:tcBorders>
            <w:shd w:fill="008F7A" w:val="clear"/>
            <w:tcMar>
              <w:top w:type="dxa" w:w="100"/>
              <w:left w:type="dxa" w:w="80"/>
              <w:bottom w:type="dxa" w:w="100"/>
              <w:right w:type="dxa" w:w="80"/>
            </w:tcMar>
          </w:tcPr>
          <w:p>
            <w:pPr>
              <w:spacing w:after="100" w:before="0"/>
              <w:jc w:val="center"/>
            </w:pPr>
            <w:r>
              <w:rPr>
                <w:rFonts w:ascii="Arial" w:cs="Arial" w:eastAsia="Arial" w:hAnsi="Arial"/>
                <w:b w:val="false"/>
                <w:bCs w:val="false"/>
                <w:color w:val="E0F5F1"/>
                <w:sz w:val="13"/>
                <w:szCs w:val="13"/>
              </w:rPr>
              <w:t xml:space="preserve">Peso</w:t>
            </w:r>
            <w:r>
              <w:rPr>
                <w:rFonts w:ascii="Arial" w:cs="Arial" w:eastAsia="Arial" w:hAnsi="Arial"/>
                <w:b/>
                <w:bCs/>
                <w:color w:val="FFFFFF"/>
                <w:sz w:val="22"/>
                <w:szCs w:val="22"/>
              </w:rPr>
              <w:t xml:space="preserve"> 7%</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08F7A" w:val="clear"/>
            <w:tcMar>
              <w:top w:type="dxa" w:w="70"/>
              <w:left w:type="dxa" w:w="100"/>
              <w:bottom w:type="dxa" w:w="70"/>
              <w:right w:type="dxa" w:w="80"/>
            </w:tcMar>
          </w:tcPr>
          <w:p>
            <w:pPr>
              <w:spacing w:after="100" w:before="0"/>
              <w:jc w:val="center"/>
            </w:pPr>
            <w:r>
              <w:rPr>
                <w:rFonts w:ascii="Arial" w:cs="Arial" w:eastAsia="Arial" w:hAnsi="Arial"/>
                <w:b/>
                <w:bCs/>
                <w:color w:val="FFFFFF"/>
                <w:sz w:val="17"/>
                <w:szCs w:val="17"/>
              </w:rPr>
              <w:t xml:space="preserve">McKinsey</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8F7A" w:val="clear"/>
            <w:tcMar>
              <w:top w:type="dxa" w:w="70"/>
              <w:left w:type="dxa" w:w="80"/>
              <w:bottom w:type="dxa" w:w="70"/>
              <w:right w:type="dxa" w:w="60"/>
            </w:tcMar>
          </w:tcPr>
          <w:p>
            <w:pPr>
              <w:spacing w:after="100" w:before="0"/>
              <w:jc w:val="center"/>
            </w:pPr>
            <w:r>
              <w:rPr>
                <w:rFonts w:ascii="Arial" w:cs="Arial" w:eastAsia="Arial" w:hAnsi="Arial"/>
                <w:b/>
                <w:bCs/>
                <w:color w:val="FFFFFF"/>
                <w:sz w:val="14"/>
                <w:szCs w:val="14"/>
              </w:rPr>
              <w:t xml:space="preserve">MIT</w:t>
            </w:r>
          </w:p>
        </w:tc>
        <w:tc>
          <w:tcPr>
            <w:tcW w:type="dxa" w:w="8960"/>
            <w:tcBorders>
              <w:top w:val="none" w:color="FFFFFF" w:sz="0"/>
              <w:left w:val="none" w:color="FFFFFF" w:sz="0"/>
              <w:bottom w:val="none" w:color="FFFFFF" w:sz="0"/>
              <w:right w:val="none" w:color="FFFFFF" w:sz="0"/>
            </w:tcBorders>
            <w:shd w:fill="E0F5F1" w:val="clear"/>
            <w:tcMar>
              <w:top w:type="dxa" w:w="70"/>
              <w:left w:type="dxa" w:w="120"/>
              <w:bottom w:type="dxa" w:w="70"/>
              <w:right w:type="dxa" w:w="100"/>
            </w:tcMar>
          </w:tcPr>
          <w:p>
            <w:pPr>
              <w:spacing w:after="100" w:before="0"/>
              <w:jc w:val="left"/>
            </w:pPr>
            <w:r>
              <w:rPr>
                <w:rFonts w:ascii="Arial" w:cs="Arial" w:eastAsia="Arial" w:hAnsi="Arial"/>
                <w:b/>
                <w:bCs/>
                <w:color w:val="008F7A"/>
                <w:sz w:val="17"/>
                <w:szCs w:val="17"/>
              </w:rPr>
              <w:t xml:space="preserve">Requisito do Estágio 4. O MIT CISR exige métricas consistentes de valor como condição para o nível Gerenciado: 'IA integrada aos processos core com dashboards de valor operacionais'.</w:t>
            </w:r>
          </w:p>
        </w:tc>
      </w:tr>
    </w:tbl>
    <w:p>
      <w:pPr>
        <w:spacing w:after="0" w:before="80"/>
      </w:pPr>
      <w:r>
        <w:rPr>
          <w:sz w:val="2"/>
          <w:szCs w:val="2"/>
        </w:rPr>
        <w:t xml:space="preserve"/>
      </w:r>
    </w:p>
    <w:p>
      <w:pPr>
        <w:pStyle w:val="Heading2"/>
        <w:spacing w:after="80" w:before="160"/>
      </w:pPr>
      <w:r>
        <w:rPr>
          <w:rFonts w:ascii="Arial" w:cs="Arial" w:eastAsia="Arial" w:hAnsi="Arial"/>
        </w:rPr>
        <w:t xml:space="preserve">De onde veio esta dimensão</w:t>
      </w:r>
    </w:p>
    <w:p>
      <w:pPr>
        <w:spacing w:after="120" w:before="0"/>
        <w:jc w:val="left"/>
      </w:pPr>
      <w:r>
        <w:rPr>
          <w:rFonts w:ascii="Arial" w:cs="Arial" w:eastAsia="Arial" w:hAnsi="Arial"/>
          <w:b w:val="false"/>
          <w:bCs w:val="false"/>
          <w:color w:val="0D1B2A"/>
          <w:sz w:val="20"/>
          <w:szCs w:val="20"/>
        </w:rPr>
        <w:t xml:space="preserve">Derivada do McKinsey Value Creation Framework, que estrutura o valor de IA em três alavancas: Receita (novos produtos, personalização, conversão), Custo (automação, eficiência, redução de erros) e Capital (inventário, manutenção preditiva). A McKinsey (Global Institute, 2023) documentou que organizações líderes em IA têm 2,5x mais probabilidade de ter metodologias formais de medição de ROI. Esta dimensão operacionaliza a capacidade da organização de não apenas gerar valor com IA, mas de medir, comunicar e priorizar esse valor sistematicamente.</w:t>
      </w:r>
    </w:p>
    <w:p>
      <w:pPr>
        <w:pStyle w:val="Heading2"/>
        <w:spacing w:after="80" w:before="160"/>
      </w:pPr>
      <w:r>
        <w:rPr>
          <w:rFonts w:ascii="Arial" w:cs="Arial" w:eastAsia="Arial" w:hAnsi="Arial"/>
        </w:rPr>
        <w:t xml:space="preserve">Critérios avaliados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Modelo formal de medição de ROI para projetos de IA</w:t>
            </w:r>
          </w:p>
          <w:p>
            <w:pPr>
              <w:pStyle w:val="ListParagraph"/>
              <w:numPr>
                <w:ilvl w:val="0"/>
                <w:numId w:val="2"/>
              </w:numPr>
              <w:spacing w:after="30" w:before="30"/>
            </w:pPr>
            <w:r>
              <w:rPr>
                <w:rFonts w:ascii="Arial" w:cs="Arial" w:eastAsia="Arial" w:hAnsi="Arial"/>
                <w:b w:val="false"/>
                <w:bCs w:val="false"/>
                <w:color w:val="0D1B2A"/>
                <w:sz w:val="18"/>
                <w:szCs w:val="18"/>
              </w:rPr>
              <w:t xml:space="preserve">Retorno efetivo documentado dos projetos em produção</w:t>
            </w:r>
          </w:p>
          <w:p>
            <w:pPr>
              <w:pStyle w:val="ListParagraph"/>
              <w:numPr>
                <w:ilvl w:val="0"/>
                <w:numId w:val="2"/>
              </w:numPr>
              <w:spacing w:after="30" w:before="30"/>
            </w:pPr>
            <w:r>
              <w:rPr>
                <w:rFonts w:ascii="Arial" w:cs="Arial" w:eastAsia="Arial" w:hAnsi="Arial"/>
                <w:b w:val="false"/>
                <w:bCs w:val="false"/>
                <w:color w:val="0D1B2A"/>
                <w:sz w:val="18"/>
                <w:szCs w:val="18"/>
              </w:rPr>
              <w:t xml:space="preserve">Metodologia de quantificação de impacto (receita, custo, produtividade)</w:t>
            </w:r>
          </w:p>
        </w:tc>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Alinhamento de investimentos em IA com prioridades financeiras corporativas</w:t>
            </w:r>
          </w:p>
          <w:p>
            <w:pPr>
              <w:pStyle w:val="ListParagraph"/>
              <w:numPr>
                <w:ilvl w:val="0"/>
                <w:numId w:val="2"/>
              </w:numPr>
              <w:spacing w:after="30" w:before="30"/>
            </w:pPr>
            <w:r>
              <w:rPr>
                <w:rFonts w:ascii="Arial" w:cs="Arial" w:eastAsia="Arial" w:hAnsi="Arial"/>
                <w:b w:val="false"/>
                <w:bCs w:val="false"/>
                <w:color w:val="0D1B2A"/>
                <w:sz w:val="18"/>
                <w:szCs w:val="18"/>
              </w:rPr>
              <w:t xml:space="preserve">Priorização de projetos baseada em potencial de valor, não em entusiasmo técnico</w:t>
            </w:r>
          </w:p>
          <w:p>
            <w:pPr>
              <w:pStyle w:val="ListParagraph"/>
              <w:numPr>
                <w:ilvl w:val="0"/>
                <w:numId w:val="2"/>
              </w:numPr>
              <w:spacing w:after="30" w:before="30"/>
            </w:pPr>
            <w:r>
              <w:rPr>
                <w:rFonts w:ascii="Arial" w:cs="Arial" w:eastAsia="Arial" w:hAnsi="Arial"/>
                <w:b w:val="false"/>
                <w:bCs w:val="false"/>
                <w:color w:val="0D1B2A"/>
                <w:sz w:val="18"/>
                <w:szCs w:val="18"/>
              </w:rPr>
              <w:t xml:space="preserve">Comunicação regular de valor de IA para Board e stakeholders de negócio</w:t>
            </w:r>
          </w:p>
        </w:tc>
      </w:tr>
    </w:tbl>
    <w:p>
      <w:pPr>
        <w:spacing w:after="0" w:before="80"/>
      </w:pPr>
      <w:r>
        <w:rPr>
          <w:sz w:val="2"/>
          <w:szCs w:val="2"/>
        </w:rPr>
        <w:t xml:space="preserve"/>
      </w:r>
    </w:p>
    <w:p>
      <w:pPr>
        <w:pStyle w:val="Heading2"/>
        <w:spacing w:after="80" w:before="160"/>
      </w:pPr>
      <w:r>
        <w:rPr>
          <w:rFonts w:ascii="Arial" w:cs="Arial" w:eastAsia="Arial" w:hAnsi="Arial"/>
        </w:rPr>
        <w:t xml:space="preserve">Por que esta dimensão importa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008F7A" w:val="clear"/>
            <w:tcMar>
              <w:top w:type="dxa" w:w="80"/>
              <w:left w:type="dxa" w:w="60"/>
              <w:bottom w:type="dxa" w:w="80"/>
              <w:right w:type="dxa" w:w="40"/>
            </w:tcMar>
          </w:tcPr>
          <w:p>
            <w:pPr>
              <w:spacing w:after="100" w:before="0"/>
              <w:jc w:val="left"/>
            </w:pPr>
            <w:r>
              <w:rPr>
                <w:rFonts w:ascii="Arial" w:cs="Arial" w:eastAsia="Arial" w:hAnsi="Arial"/>
                <w:b w:val="false"/>
                <w:bCs w:val="false"/>
                <w:color w:val="0D1B2A"/>
                <w:sz w:val="20"/>
                <w:szCs w:val="20"/>
              </w:rPr>
              <w:t xml:space="preserve"> </w:t>
            </w:r>
          </w:p>
        </w:tc>
        <w:tc>
          <w:tcPr>
            <w:tcW w:type="dxa" w:w="9220"/>
            <w:tcBorders>
              <w:top w:val="none" w:color="FFFFFF" w:sz="0"/>
              <w:left w:val="none" w:color="FFFFFF" w:sz="0"/>
              <w:bottom w:val="none" w:color="FFFFFF" w:sz="0"/>
              <w:right w:val="none" w:color="FFFFFF" w:sz="0"/>
            </w:tcBorders>
            <w:shd w:fill="E0F5F1" w:val="clear"/>
            <w:tcMar>
              <w:top w:type="dxa" w:w="100"/>
              <w:left w:type="dxa" w:w="140"/>
              <w:bottom w:type="dxa" w:w="100"/>
              <w:right w:type="dxa" w:w="120"/>
            </w:tcMar>
          </w:tcPr>
          <w:p>
            <w:pPr>
              <w:spacing w:after="100" w:before="0"/>
              <w:jc w:val="left"/>
            </w:pPr>
            <w:r>
              <w:rPr>
                <w:rFonts w:ascii="Arial" w:cs="Arial" w:eastAsia="Arial" w:hAnsi="Arial"/>
                <w:b w:val="false"/>
                <w:bCs w:val="false"/>
                <w:color w:val="0D1B2A"/>
                <w:sz w:val="18"/>
                <w:szCs w:val="18"/>
              </w:rPr>
              <w:t xml:space="preserve">Se você não pode medir, não pode gerenciar. Incapacidade de demonstrar valor financeiro concreto leva a cortes de investimento nos ciclos de budget — especialmente em períodos de pressão de resultados.</w:t>
            </w:r>
          </w:p>
        </w:tc>
      </w:tr>
    </w:tbl>
    <w:p>
      <w:pPr>
        <w:spacing w:after="0" w:before="80"/>
      </w:pPr>
      <w:r>
        <w:rPr>
          <w:sz w:val="2"/>
          <w:szCs w:val="2"/>
        </w:rPr>
        <w:t xml:space="preserve"/>
      </w:r>
    </w:p>
    <w:p>
      <w:pPr>
        <w:pStyle w:val="Heading2"/>
        <w:spacing w:after="80" w:before="160"/>
      </w:pPr>
      <w:r>
        <w:rPr>
          <w:rFonts w:ascii="Arial" w:cs="Arial" w:eastAsia="Arial" w:hAnsi="Arial"/>
        </w:rPr>
        <w:t xml:space="preserve">O que queremos mostrar ao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5A623" w:val="clear"/>
            <w:tcMar>
              <w:top w:type="dxa" w:w="80"/>
              <w:left w:type="dxa" w:w="60"/>
              <w:bottom w:type="dxa" w:w="80"/>
              <w:right w:type="dxa" w:w="40"/>
            </w:tcMar>
          </w:tcPr>
          <w:p>
            <w:pPr>
              <w:spacing w:after="100" w:before="0"/>
              <w:jc w:val="center"/>
            </w:pPr>
            <w:r>
              <w:rPr>
                <w:rFonts w:ascii="Arial" w:cs="Arial" w:eastAsia="Arial" w:hAnsi="Arial"/>
                <w:b/>
                <w:bCs/>
                <w:color w:val="FFFFFF"/>
                <w:sz w:val="20"/>
                <w:szCs w:val="20"/>
              </w:rPr>
              <w:t xml:space="preserve">!</w:t>
            </w:r>
          </w:p>
        </w:tc>
        <w:tc>
          <w:tcPr>
            <w:tcW w:type="dxa" w:w="9160"/>
            <w:tcBorders>
              <w:top w:val="none" w:color="FFFFFF" w:sz="0"/>
              <w:left w:val="none" w:color="FFFFFF" w:sz="0"/>
              <w:bottom w:val="none" w:color="FFFFFF" w:sz="0"/>
              <w:right w:val="none" w:color="FFFFFF" w:sz="0"/>
            </w:tcBorders>
            <w:shd w:fill="FFF8EC" w:val="clear"/>
            <w:tcMar>
              <w:top w:type="dxa" w:w="90"/>
              <w:left w:type="dxa" w:w="140"/>
              <w:bottom w:type="dxa" w:w="90"/>
              <w:right w:type="dxa" w:w="120"/>
            </w:tcMar>
          </w:tcPr>
          <w:p>
            <w:pPr>
              <w:spacing w:after="100" w:before="0"/>
              <w:jc w:val="left"/>
            </w:pPr>
            <w:r>
              <w:rPr>
                <w:rFonts w:ascii="Arial" w:cs="Arial" w:eastAsia="Arial" w:hAnsi="Arial"/>
                <w:b w:val="false"/>
                <w:bCs w:val="false"/>
                <w:color w:val="0D1B2A"/>
                <w:sz w:val="18"/>
                <w:szCs w:val="18"/>
              </w:rPr>
              <w:t xml:space="preserve">Revelar se a empresa trata IA como investimento com retorno mensurável ou como centro de custo indefinido. Score baixo aqui com score alto em Operações (Dim 5) revela o perfil 'operamos mas não sabemos quanto vale' — extremamente comum e perigoso para a sustentação do programa de IA.</w:t>
            </w:r>
          </w:p>
        </w:tc>
      </w:tr>
    </w:tbl>
    <w:p>
      <w:pPr>
        <w:spacing w:after="0" w:before="80"/>
      </w:pPr>
      <w:r>
        <w:rPr>
          <w:sz w:val="2"/>
          <w:szCs w:val="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none" w:color="FFFFFF" w:sz="0"/>
              <w:left w:val="none" w:color="FFFFFF" w:sz="0"/>
              <w:bottom w:val="none" w:color="FFFFFF" w:sz="0"/>
              <w:right w:val="none" w:color="FFFFFF" w:sz="0"/>
            </w:tcBorders>
            <w:shd w:fill="0D1B2A" w:val="clear"/>
            <w:tcMar>
              <w:top w:type="dxa" w:w="120"/>
              <w:left w:type="dxa" w:w="100"/>
              <w:bottom w:type="dxa" w:w="120"/>
              <w:right w:type="dxa" w:w="80"/>
            </w:tcMar>
          </w:tcPr>
          <w:p>
            <w:pPr>
              <w:spacing w:after="100" w:before="0"/>
              <w:jc w:val="center"/>
            </w:pPr>
            <w:r>
              <w:rPr>
                <w:rFonts w:ascii="Arial" w:cs="Arial" w:eastAsia="Arial" w:hAnsi="Arial"/>
                <w:b/>
                <w:bCs/>
                <w:color w:val="FFFFFF"/>
                <w:sz w:val="28"/>
                <w:szCs w:val="28"/>
              </w:rPr>
              <w:t xml:space="preserve">D8</w:t>
            </w:r>
          </w:p>
        </w:tc>
        <w:tc>
          <w:tcPr>
            <w:tcW w:type="dxa" w:w="7560"/>
            <w:tcBorders>
              <w:top w:val="none" w:color="FFFFFF" w:sz="0"/>
              <w:left w:val="none" w:color="FFFFFF" w:sz="0"/>
              <w:bottom w:val="none" w:color="FFFFFF" w:sz="0"/>
              <w:right w:val="none" w:color="FFFFFF" w:sz="0"/>
            </w:tcBorders>
            <w:shd w:fill="0D1B2A" w:val="clear"/>
            <w:tcMar>
              <w:top w:type="dxa" w:w="100"/>
              <w:left w:type="dxa" w:w="140"/>
              <w:bottom w:type="dxa" w:w="100"/>
              <w:right w:type="dxa" w:w="100"/>
            </w:tcMar>
          </w:tcPr>
          <w:p>
            <w:pPr>
              <w:spacing w:after="100" w:before="0"/>
              <w:jc w:val="left"/>
            </w:pPr>
            <w:r>
              <w:rPr>
                <w:rFonts w:ascii="Arial" w:cs="Arial" w:eastAsia="Arial" w:hAnsi="Arial"/>
                <w:b/>
                <w:bCs/>
                <w:color w:val="FFFFFF"/>
                <w:sz w:val="26"/>
                <w:szCs w:val="26"/>
              </w:rPr>
              <w:t xml:space="preserve">Ecossistema e Parcerias</w:t>
            </w:r>
          </w:p>
        </w:tc>
        <w:tc>
          <w:tcPr>
            <w:tcW w:type="dxa" w:w="1000"/>
            <w:tcBorders>
              <w:top w:val="none" w:color="FFFFFF" w:sz="0"/>
              <w:left w:val="none" w:color="FFFFFF" w:sz="0"/>
              <w:bottom w:val="none" w:color="FFFFFF" w:sz="0"/>
              <w:right w:val="none" w:color="FFFFFF" w:sz="0"/>
            </w:tcBorders>
            <w:shd w:fill="008F7A" w:val="clear"/>
            <w:tcMar>
              <w:top w:type="dxa" w:w="100"/>
              <w:left w:type="dxa" w:w="80"/>
              <w:bottom w:type="dxa" w:w="100"/>
              <w:right w:type="dxa" w:w="80"/>
            </w:tcMar>
          </w:tcPr>
          <w:p>
            <w:pPr>
              <w:spacing w:after="100" w:before="0"/>
              <w:jc w:val="center"/>
            </w:pPr>
            <w:r>
              <w:rPr>
                <w:rFonts w:ascii="Arial" w:cs="Arial" w:eastAsia="Arial" w:hAnsi="Arial"/>
                <w:b w:val="false"/>
                <w:bCs w:val="false"/>
                <w:color w:val="E0F5F1"/>
                <w:sz w:val="13"/>
                <w:szCs w:val="13"/>
              </w:rPr>
              <w:t xml:space="preserve">Peso</w:t>
            </w:r>
            <w:r>
              <w:rPr>
                <w:rFonts w:ascii="Arial" w:cs="Arial" w:eastAsia="Arial" w:hAnsi="Arial"/>
                <w:b/>
                <w:bCs/>
                <w:color w:val="FFFFFF"/>
                <w:sz w:val="22"/>
                <w:szCs w:val="22"/>
              </w:rPr>
              <w:t xml:space="preserve"> 6%</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D1B2A" w:val="clear"/>
            <w:tcMar>
              <w:top w:type="dxa" w:w="70"/>
              <w:left w:type="dxa" w:w="100"/>
              <w:bottom w:type="dxa" w:w="70"/>
              <w:right w:type="dxa" w:w="80"/>
            </w:tcMar>
          </w:tcPr>
          <w:p>
            <w:pPr>
              <w:spacing w:after="100" w:before="0"/>
              <w:jc w:val="center"/>
            </w:pPr>
            <w:r>
              <w:rPr>
                <w:rFonts w:ascii="Arial" w:cs="Arial" w:eastAsia="Arial" w:hAnsi="Arial"/>
                <w:b/>
                <w:bCs/>
                <w:color w:val="FFFFFF"/>
                <w:sz w:val="17"/>
                <w:szCs w:val="17"/>
              </w:rPr>
              <w:t xml:space="preserve">MIT CISR</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8F7A" w:val="clear"/>
            <w:tcMar>
              <w:top w:type="dxa" w:w="70"/>
              <w:left w:type="dxa" w:w="80"/>
              <w:bottom w:type="dxa" w:w="70"/>
              <w:right w:type="dxa" w:w="60"/>
            </w:tcMar>
          </w:tcPr>
          <w:p>
            <w:pPr>
              <w:spacing w:after="100" w:before="0"/>
              <w:jc w:val="center"/>
            </w:pPr>
            <w:r>
              <w:rPr>
                <w:rFonts w:ascii="Arial" w:cs="Arial" w:eastAsia="Arial" w:hAnsi="Arial"/>
                <w:b/>
                <w:bCs/>
                <w:color w:val="FFFFFF"/>
                <w:sz w:val="14"/>
                <w:szCs w:val="14"/>
              </w:rPr>
              <w:t xml:space="preserve">MIT</w:t>
            </w:r>
          </w:p>
        </w:tc>
        <w:tc>
          <w:tcPr>
            <w:tcW w:type="dxa" w:w="8960"/>
            <w:tcBorders>
              <w:top w:val="none" w:color="FFFFFF" w:sz="0"/>
              <w:left w:val="none" w:color="FFFFFF" w:sz="0"/>
              <w:bottom w:val="none" w:color="FFFFFF" w:sz="0"/>
              <w:right w:val="none" w:color="FFFFFF" w:sz="0"/>
            </w:tcBorders>
            <w:shd w:fill="E0F5F1" w:val="clear"/>
            <w:tcMar>
              <w:top w:type="dxa" w:w="70"/>
              <w:left w:type="dxa" w:w="120"/>
              <w:bottom w:type="dxa" w:w="70"/>
              <w:right w:type="dxa" w:w="100"/>
            </w:tcMar>
          </w:tcPr>
          <w:p>
            <w:pPr>
              <w:spacing w:after="100" w:before="0"/>
              <w:jc w:val="left"/>
            </w:pPr>
            <w:r>
              <w:rPr>
                <w:rFonts w:ascii="Arial" w:cs="Arial" w:eastAsia="Arial" w:hAnsi="Arial"/>
                <w:b/>
                <w:bCs/>
                <w:color w:val="008F7A"/>
                <w:sz w:val="17"/>
                <w:szCs w:val="17"/>
              </w:rPr>
              <w:t xml:space="preserve">Presente em todos os estágios, mas qualificador do Estágio 4. O MIT CISR define 'parcerias estratégicas estabelecidas' como característica do nível Gerenciado — não apenas uso de cloud, mas relacionamentos estratégicos com parceiros de IA.</w:t>
            </w:r>
          </w:p>
        </w:tc>
      </w:tr>
    </w:tbl>
    <w:p>
      <w:pPr>
        <w:spacing w:after="0" w:before="80"/>
      </w:pPr>
      <w:r>
        <w:rPr>
          <w:sz w:val="2"/>
          <w:szCs w:val="2"/>
        </w:rPr>
        <w:t xml:space="preserve"/>
      </w:r>
    </w:p>
    <w:p>
      <w:pPr>
        <w:pStyle w:val="Heading2"/>
        <w:spacing w:after="80" w:before="160"/>
      </w:pPr>
      <w:r>
        <w:rPr>
          <w:rFonts w:ascii="Arial" w:cs="Arial" w:eastAsia="Arial" w:hAnsi="Arial"/>
        </w:rPr>
        <w:t xml:space="preserve">De onde veio esta dimensão</w:t>
      </w:r>
    </w:p>
    <w:p>
      <w:pPr>
        <w:spacing w:after="120" w:before="0"/>
        <w:jc w:val="left"/>
      </w:pPr>
      <w:r>
        <w:rPr>
          <w:rFonts w:ascii="Arial" w:cs="Arial" w:eastAsia="Arial" w:hAnsi="Arial"/>
          <w:b w:val="false"/>
          <w:bCs w:val="false"/>
          <w:color w:val="0D1B2A"/>
          <w:sz w:val="20"/>
          <w:szCs w:val="20"/>
        </w:rPr>
        <w:t xml:space="preserve">O MIT CISR reconhece que nenhuma organização constrói IA no isolamento. O modelo de maturidade inclui a capacidade de orquestrar um ecossistema de parceiros — cloud providers, ISVs, consultorias, startups e academia — como fator diferenciador. Esta dimensão avalia não apenas quais parceiros a empresa usa, mas como ela os usa: de forma reativa (compra serviços) ou estratégica (co-cria, compartilha risco, acessa inovação).</w:t>
      </w:r>
    </w:p>
    <w:p>
      <w:pPr>
        <w:pStyle w:val="Heading2"/>
        <w:spacing w:after="80" w:before="160"/>
      </w:pPr>
      <w:r>
        <w:rPr>
          <w:rFonts w:ascii="Arial" w:cs="Arial" w:eastAsia="Arial" w:hAnsi="Arial"/>
        </w:rPr>
        <w:t xml:space="preserve">Critérios avaliados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Uso estratégico de plataformas cloud para IA (AWS, Azure, GCP — além do commodity)</w:t>
            </w:r>
          </w:p>
          <w:p>
            <w:pPr>
              <w:pStyle w:val="ListParagraph"/>
              <w:numPr>
                <w:ilvl w:val="0"/>
                <w:numId w:val="2"/>
              </w:numPr>
              <w:spacing w:after="30" w:before="30"/>
            </w:pPr>
            <w:r>
              <w:rPr>
                <w:rFonts w:ascii="Arial" w:cs="Arial" w:eastAsia="Arial" w:hAnsi="Arial"/>
                <w:b w:val="false"/>
                <w:bCs w:val="false"/>
                <w:color w:val="0D1B2A"/>
                <w:sz w:val="18"/>
                <w:szCs w:val="18"/>
              </w:rPr>
              <w:t xml:space="preserve">Integração com serviços de IA de terceiros via APIs (OpenAI, Anthropic, etc.)</w:t>
            </w:r>
          </w:p>
          <w:p>
            <w:pPr>
              <w:pStyle w:val="ListParagraph"/>
              <w:numPr>
                <w:ilvl w:val="0"/>
                <w:numId w:val="2"/>
              </w:numPr>
              <w:spacing w:after="30" w:before="30"/>
            </w:pPr>
            <w:r>
              <w:rPr>
                <w:rFonts w:ascii="Arial" w:cs="Arial" w:eastAsia="Arial" w:hAnsi="Arial"/>
                <w:b w:val="false"/>
                <w:bCs w:val="false"/>
                <w:color w:val="0D1B2A"/>
                <w:sz w:val="18"/>
                <w:szCs w:val="18"/>
              </w:rPr>
              <w:t xml:space="preserve">Estratégia explícita de make vs. buy vs. partner para capacidades de IA</w:t>
            </w:r>
          </w:p>
        </w:tc>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Parcerias formais com vendors e consultorias especializadas em IA</w:t>
            </w:r>
          </w:p>
          <w:p>
            <w:pPr>
              <w:pStyle w:val="ListParagraph"/>
              <w:numPr>
                <w:ilvl w:val="0"/>
                <w:numId w:val="2"/>
              </w:numPr>
              <w:spacing w:after="30" w:before="30"/>
            </w:pPr>
            <w:r>
              <w:rPr>
                <w:rFonts w:ascii="Arial" w:cs="Arial" w:eastAsia="Arial" w:hAnsi="Arial"/>
                <w:b w:val="false"/>
                <w:bCs w:val="false"/>
                <w:color w:val="0D1B2A"/>
                <w:sz w:val="18"/>
                <w:szCs w:val="18"/>
              </w:rPr>
              <w:t xml:space="preserve">Velocidade de integração: tempo médio para conectar um novo serviço de IA</w:t>
            </w:r>
          </w:p>
          <w:p>
            <w:pPr>
              <w:pStyle w:val="ListParagraph"/>
              <w:numPr>
                <w:ilvl w:val="0"/>
                <w:numId w:val="2"/>
              </w:numPr>
              <w:spacing w:after="30" w:before="30"/>
            </w:pPr>
            <w:r>
              <w:rPr>
                <w:rFonts w:ascii="Arial" w:cs="Arial" w:eastAsia="Arial" w:hAnsi="Arial"/>
                <w:b w:val="false"/>
                <w:bCs w:val="false"/>
                <w:color w:val="0D1B2A"/>
                <w:sz w:val="18"/>
                <w:szCs w:val="18"/>
              </w:rPr>
              <w:t xml:space="preserve">Processo formal de avaliação e seleção de parceiros de IA</w:t>
            </w:r>
          </w:p>
        </w:tc>
      </w:tr>
    </w:tbl>
    <w:p>
      <w:pPr>
        <w:spacing w:after="0" w:before="80"/>
      </w:pPr>
      <w:r>
        <w:rPr>
          <w:sz w:val="2"/>
          <w:szCs w:val="2"/>
        </w:rPr>
        <w:t xml:space="preserve"/>
      </w:r>
    </w:p>
    <w:p>
      <w:pPr>
        <w:pStyle w:val="Heading2"/>
        <w:spacing w:after="80" w:before="160"/>
      </w:pPr>
      <w:r>
        <w:rPr>
          <w:rFonts w:ascii="Arial" w:cs="Arial" w:eastAsia="Arial" w:hAnsi="Arial"/>
        </w:rPr>
        <w:t xml:space="preserve">Por que esta dimensão importa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008F7A" w:val="clear"/>
            <w:tcMar>
              <w:top w:type="dxa" w:w="80"/>
              <w:left w:type="dxa" w:w="60"/>
              <w:bottom w:type="dxa" w:w="80"/>
              <w:right w:type="dxa" w:w="40"/>
            </w:tcMar>
          </w:tcPr>
          <w:p>
            <w:pPr>
              <w:spacing w:after="100" w:before="0"/>
              <w:jc w:val="left"/>
            </w:pPr>
            <w:r>
              <w:rPr>
                <w:rFonts w:ascii="Arial" w:cs="Arial" w:eastAsia="Arial" w:hAnsi="Arial"/>
                <w:b w:val="false"/>
                <w:bCs w:val="false"/>
                <w:color w:val="0D1B2A"/>
                <w:sz w:val="20"/>
                <w:szCs w:val="20"/>
              </w:rPr>
              <w:t xml:space="preserve"> </w:t>
            </w:r>
          </w:p>
        </w:tc>
        <w:tc>
          <w:tcPr>
            <w:tcW w:type="dxa" w:w="9220"/>
            <w:tcBorders>
              <w:top w:val="none" w:color="FFFFFF" w:sz="0"/>
              <w:left w:val="none" w:color="FFFFFF" w:sz="0"/>
              <w:bottom w:val="none" w:color="FFFFFF" w:sz="0"/>
              <w:right w:val="none" w:color="FFFFFF" w:sz="0"/>
            </w:tcBorders>
            <w:shd w:fill="E0F5F1" w:val="clear"/>
            <w:tcMar>
              <w:top w:type="dxa" w:w="100"/>
              <w:left w:type="dxa" w:w="140"/>
              <w:bottom w:type="dxa" w:w="100"/>
              <w:right w:type="dxa" w:w="120"/>
            </w:tcMar>
          </w:tcPr>
          <w:p>
            <w:pPr>
              <w:spacing w:after="100" w:before="0"/>
              <w:jc w:val="left"/>
            </w:pPr>
            <w:r>
              <w:rPr>
                <w:rFonts w:ascii="Arial" w:cs="Arial" w:eastAsia="Arial" w:hAnsi="Arial"/>
                <w:b w:val="false"/>
                <w:bCs w:val="false"/>
                <w:color w:val="0D1B2A"/>
                <w:sz w:val="18"/>
                <w:szCs w:val="18"/>
              </w:rPr>
              <w:t xml:space="preserve">Ninguém faz IA sozinho. Ecossistemas saudáveis de parceiros aceleram a inovação, reduzem riscos e dão acesso a capacidades que seriam impossíveis de construir internamente.</w:t>
            </w:r>
          </w:p>
        </w:tc>
      </w:tr>
    </w:tbl>
    <w:p>
      <w:pPr>
        <w:spacing w:after="0" w:before="80"/>
      </w:pPr>
      <w:r>
        <w:rPr>
          <w:sz w:val="2"/>
          <w:szCs w:val="2"/>
        </w:rPr>
        <w:t xml:space="preserve"/>
      </w:r>
    </w:p>
    <w:p>
      <w:pPr>
        <w:pStyle w:val="Heading2"/>
        <w:spacing w:after="80" w:before="160"/>
      </w:pPr>
      <w:r>
        <w:rPr>
          <w:rFonts w:ascii="Arial" w:cs="Arial" w:eastAsia="Arial" w:hAnsi="Arial"/>
        </w:rPr>
        <w:t xml:space="preserve">O que queremos mostrar ao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5A623" w:val="clear"/>
            <w:tcMar>
              <w:top w:type="dxa" w:w="80"/>
              <w:left w:type="dxa" w:w="60"/>
              <w:bottom w:type="dxa" w:w="80"/>
              <w:right w:type="dxa" w:w="40"/>
            </w:tcMar>
          </w:tcPr>
          <w:p>
            <w:pPr>
              <w:spacing w:after="100" w:before="0"/>
              <w:jc w:val="center"/>
            </w:pPr>
            <w:r>
              <w:rPr>
                <w:rFonts w:ascii="Arial" w:cs="Arial" w:eastAsia="Arial" w:hAnsi="Arial"/>
                <w:b/>
                <w:bCs/>
                <w:color w:val="FFFFFF"/>
                <w:sz w:val="20"/>
                <w:szCs w:val="20"/>
              </w:rPr>
              <w:t xml:space="preserve">!</w:t>
            </w:r>
          </w:p>
        </w:tc>
        <w:tc>
          <w:tcPr>
            <w:tcW w:type="dxa" w:w="9160"/>
            <w:tcBorders>
              <w:top w:val="none" w:color="FFFFFF" w:sz="0"/>
              <w:left w:val="none" w:color="FFFFFF" w:sz="0"/>
              <w:bottom w:val="none" w:color="FFFFFF" w:sz="0"/>
              <w:right w:val="none" w:color="FFFFFF" w:sz="0"/>
            </w:tcBorders>
            <w:shd w:fill="FFF8EC" w:val="clear"/>
            <w:tcMar>
              <w:top w:type="dxa" w:w="90"/>
              <w:left w:type="dxa" w:w="140"/>
              <w:bottom w:type="dxa" w:w="90"/>
              <w:right w:type="dxa" w:w="120"/>
            </w:tcMar>
          </w:tcPr>
          <w:p>
            <w:pPr>
              <w:spacing w:after="100" w:before="0"/>
              <w:jc w:val="left"/>
            </w:pPr>
            <w:r>
              <w:rPr>
                <w:rFonts w:ascii="Arial" w:cs="Arial" w:eastAsia="Arial" w:hAnsi="Arial"/>
                <w:b w:val="false"/>
                <w:bCs w:val="false"/>
                <w:color w:val="0D1B2A"/>
                <w:sz w:val="18"/>
                <w:szCs w:val="18"/>
              </w:rPr>
              <w:t xml:space="preserve">Mostrar se a empresa está dentro ou fora do ecossistema de inovação em IA. Score baixo indica isolamento — empresas que reinventam a roda enquanto o mercado avança. Score alto indica capacidade de alavancar o que já existe e construir sobre as melhores fundações disponíveis.</w:t>
            </w:r>
          </w:p>
        </w:tc>
      </w:tr>
    </w:tbl>
    <w:p>
      <w:pPr>
        <w:spacing w:after="0" w:before="80"/>
      </w:pPr>
      <w:r>
        <w:rPr>
          <w:sz w:val="2"/>
          <w:szCs w:val="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none" w:color="FFFFFF" w:sz="0"/>
              <w:left w:val="none" w:color="FFFFFF" w:sz="0"/>
              <w:bottom w:val="none" w:color="FFFFFF" w:sz="0"/>
              <w:right w:val="none" w:color="FFFFFF" w:sz="0"/>
            </w:tcBorders>
            <w:shd w:fill="00C2A8" w:val="clear"/>
            <w:tcMar>
              <w:top w:type="dxa" w:w="120"/>
              <w:left w:type="dxa" w:w="100"/>
              <w:bottom w:type="dxa" w:w="120"/>
              <w:right w:type="dxa" w:w="80"/>
            </w:tcMar>
          </w:tcPr>
          <w:p>
            <w:pPr>
              <w:spacing w:after="100" w:before="0"/>
              <w:jc w:val="center"/>
            </w:pPr>
            <w:r>
              <w:rPr>
                <w:rFonts w:ascii="Arial" w:cs="Arial" w:eastAsia="Arial" w:hAnsi="Arial"/>
                <w:b/>
                <w:bCs/>
                <w:color w:val="FFFFFF"/>
                <w:sz w:val="28"/>
                <w:szCs w:val="28"/>
              </w:rPr>
              <w:t xml:space="preserve">D9</w:t>
            </w:r>
          </w:p>
        </w:tc>
        <w:tc>
          <w:tcPr>
            <w:tcW w:type="dxa" w:w="7560"/>
            <w:tcBorders>
              <w:top w:val="none" w:color="FFFFFF" w:sz="0"/>
              <w:left w:val="none" w:color="FFFFFF" w:sz="0"/>
              <w:bottom w:val="none" w:color="FFFFFF" w:sz="0"/>
              <w:right w:val="none" w:color="FFFFFF" w:sz="0"/>
            </w:tcBorders>
            <w:shd w:fill="0D1B2A" w:val="clear"/>
            <w:tcMar>
              <w:top w:type="dxa" w:w="100"/>
              <w:left w:type="dxa" w:w="140"/>
              <w:bottom w:type="dxa" w:w="100"/>
              <w:right w:type="dxa" w:w="100"/>
            </w:tcMar>
          </w:tcPr>
          <w:p>
            <w:pPr>
              <w:spacing w:after="100" w:before="0"/>
              <w:jc w:val="left"/>
            </w:pPr>
            <w:r>
              <w:rPr>
                <w:rFonts w:ascii="Arial" w:cs="Arial" w:eastAsia="Arial" w:hAnsi="Arial"/>
                <w:b/>
                <w:bCs/>
                <w:color w:val="FFFFFF"/>
                <w:sz w:val="26"/>
                <w:szCs w:val="26"/>
              </w:rPr>
              <w:t xml:space="preserve">Valor por Unidade de Negócio</w:t>
            </w:r>
          </w:p>
        </w:tc>
        <w:tc>
          <w:tcPr>
            <w:tcW w:type="dxa" w:w="1000"/>
            <w:tcBorders>
              <w:top w:val="none" w:color="FFFFFF" w:sz="0"/>
              <w:left w:val="none" w:color="FFFFFF" w:sz="0"/>
              <w:bottom w:val="none" w:color="FFFFFF" w:sz="0"/>
              <w:right w:val="none" w:color="FFFFFF" w:sz="0"/>
            </w:tcBorders>
            <w:shd w:fill="008F7A" w:val="clear"/>
            <w:tcMar>
              <w:top w:type="dxa" w:w="100"/>
              <w:left w:type="dxa" w:w="80"/>
              <w:bottom w:type="dxa" w:w="100"/>
              <w:right w:type="dxa" w:w="80"/>
            </w:tcMar>
          </w:tcPr>
          <w:p>
            <w:pPr>
              <w:spacing w:after="100" w:before="0"/>
              <w:jc w:val="center"/>
            </w:pPr>
            <w:r>
              <w:rPr>
                <w:rFonts w:ascii="Arial" w:cs="Arial" w:eastAsia="Arial" w:hAnsi="Arial"/>
                <w:b w:val="false"/>
                <w:bCs w:val="false"/>
                <w:color w:val="E0F5F1"/>
                <w:sz w:val="13"/>
                <w:szCs w:val="13"/>
              </w:rPr>
              <w:t xml:space="preserve">Peso</w:t>
            </w:r>
            <w:r>
              <w:rPr>
                <w:rFonts w:ascii="Arial" w:cs="Arial" w:eastAsia="Arial" w:hAnsi="Arial"/>
                <w:b/>
                <w:bCs/>
                <w:color w:val="FFFFFF"/>
                <w:sz w:val="22"/>
                <w:szCs w:val="22"/>
              </w:rPr>
              <w:t xml:space="preserve"> 5%</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shd w:fill="008F7A" w:val="clear"/>
            <w:tcMar>
              <w:top w:type="dxa" w:w="70"/>
              <w:left w:type="dxa" w:w="100"/>
              <w:bottom w:type="dxa" w:w="70"/>
              <w:right w:type="dxa" w:w="80"/>
            </w:tcMar>
          </w:tcPr>
          <w:p>
            <w:pPr>
              <w:spacing w:after="100" w:before="0"/>
              <w:jc w:val="center"/>
            </w:pPr>
            <w:r>
              <w:rPr>
                <w:rFonts w:ascii="Arial" w:cs="Arial" w:eastAsia="Arial" w:hAnsi="Arial"/>
                <w:b/>
                <w:bCs/>
                <w:color w:val="FFFFFF"/>
                <w:sz w:val="17"/>
                <w:szCs w:val="17"/>
              </w:rPr>
              <w:t xml:space="preserve">McKinsey</w:t>
            </w:r>
          </w:p>
        </w:tc>
        <w:tc>
          <w:tcPr>
            <w:tcW w:type="dxa" w:w="4680"/>
            <w:tcBorders>
              <w:top w:val="single" w:color="FFFFFF" w:sz="1"/>
              <w:left w:val="single" w:color="FFFFFF" w:sz="1"/>
              <w:bottom w:val="single" w:color="FFFFFF" w:sz="1"/>
              <w:right w:val="single" w:color="FFFFFF" w:sz="1"/>
            </w:tcBorders>
            <w:shd w:fill="00C2A8" w:val="clear"/>
            <w:tcMar>
              <w:top w:type="dxa" w:w="70"/>
              <w:left w:type="dxa" w:w="100"/>
              <w:bottom w:type="dxa" w:w="70"/>
              <w:right w:type="dxa" w:w="80"/>
            </w:tcMar>
          </w:tcPr>
          <w:p>
            <w:pPr>
              <w:spacing w:after="100" w:before="0"/>
              <w:jc w:val="center"/>
            </w:pPr>
            <w:r>
              <w:rPr>
                <w:rFonts w:ascii="Arial" w:cs="Arial" w:eastAsia="Arial" w:hAnsi="Arial"/>
                <w:b/>
                <w:bCs/>
                <w:color w:val="FFFFFF"/>
                <w:sz w:val="17"/>
                <w:szCs w:val="17"/>
              </w:rPr>
              <w:t xml:space="preserve">BCG</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8F7A" w:val="clear"/>
            <w:tcMar>
              <w:top w:type="dxa" w:w="70"/>
              <w:left w:type="dxa" w:w="80"/>
              <w:bottom w:type="dxa" w:w="70"/>
              <w:right w:type="dxa" w:w="60"/>
            </w:tcMar>
          </w:tcPr>
          <w:p>
            <w:pPr>
              <w:spacing w:after="100" w:before="0"/>
              <w:jc w:val="center"/>
            </w:pPr>
            <w:r>
              <w:rPr>
                <w:rFonts w:ascii="Arial" w:cs="Arial" w:eastAsia="Arial" w:hAnsi="Arial"/>
                <w:b/>
                <w:bCs/>
                <w:color w:val="FFFFFF"/>
                <w:sz w:val="14"/>
                <w:szCs w:val="14"/>
              </w:rPr>
              <w:t xml:space="preserve">MIT</w:t>
            </w:r>
          </w:p>
        </w:tc>
        <w:tc>
          <w:tcPr>
            <w:tcW w:type="dxa" w:w="8960"/>
            <w:tcBorders>
              <w:top w:val="none" w:color="FFFFFF" w:sz="0"/>
              <w:left w:val="none" w:color="FFFFFF" w:sz="0"/>
              <w:bottom w:val="none" w:color="FFFFFF" w:sz="0"/>
              <w:right w:val="none" w:color="FFFFFF" w:sz="0"/>
            </w:tcBorders>
            <w:shd w:fill="E0F5F1" w:val="clear"/>
            <w:tcMar>
              <w:top w:type="dxa" w:w="70"/>
              <w:left w:type="dxa" w:w="120"/>
              <w:bottom w:type="dxa" w:w="70"/>
              <w:right w:type="dxa" w:w="100"/>
            </w:tcMar>
          </w:tcPr>
          <w:p>
            <w:pPr>
              <w:spacing w:after="100" w:before="0"/>
              <w:jc w:val="left"/>
            </w:pPr>
            <w:r>
              <w:rPr>
                <w:rFonts w:ascii="Arial" w:cs="Arial" w:eastAsia="Arial" w:hAnsi="Arial"/>
                <w:b/>
                <w:bCs/>
                <w:color w:val="008F7A"/>
                <w:sz w:val="17"/>
                <w:szCs w:val="17"/>
              </w:rPr>
              <w:t xml:space="preserve">Diferenciador entre Estágios 3 e 4. O MIT CISR descreve o nível Gerenciado como aquele onde IA está 'integrada aos processos críticos de negócio' — o que pressupõe que diferentes unidades de negócio têm programas de IA com valor identificado.</w:t>
            </w:r>
          </w:p>
        </w:tc>
      </w:tr>
    </w:tbl>
    <w:p>
      <w:pPr>
        <w:spacing w:after="0" w:before="80"/>
      </w:pPr>
      <w:r>
        <w:rPr>
          <w:sz w:val="2"/>
          <w:szCs w:val="2"/>
        </w:rPr>
        <w:t xml:space="preserve"/>
      </w:r>
    </w:p>
    <w:p>
      <w:pPr>
        <w:pStyle w:val="Heading2"/>
        <w:spacing w:after="80" w:before="160"/>
      </w:pPr>
      <w:r>
        <w:rPr>
          <w:rFonts w:ascii="Arial" w:cs="Arial" w:eastAsia="Arial" w:hAnsi="Arial"/>
        </w:rPr>
        <w:t xml:space="preserve">De onde veio esta dimensão</w:t>
      </w:r>
    </w:p>
    <w:p>
      <w:pPr>
        <w:spacing w:after="120" w:before="0"/>
        <w:jc w:val="left"/>
      </w:pPr>
      <w:r>
        <w:rPr>
          <w:rFonts w:ascii="Arial" w:cs="Arial" w:eastAsia="Arial" w:hAnsi="Arial"/>
          <w:b w:val="false"/>
          <w:bCs w:val="false"/>
          <w:color w:val="0D1B2A"/>
          <w:sz w:val="20"/>
          <w:szCs w:val="20"/>
        </w:rPr>
        <w:t xml:space="preserve">Derivada do McKinsey Value Creation Framework e do BCG Henderson Institute AI Value Study (2023), que demonstraram que o potencial de valor da IA varia dramaticamente por unidade de negócio. Marketing, operações, supply chain e financeiro têm perfis de ROI radicalmente diferentes. Esta dimensão avalia a capacidade da organização de mapear, priorizar e acompanhar o valor de IA por unidade — transformando a questão de 'quanto IA vale para a empresa?' para 'onde IA vale mais e por quê?'</w:t>
      </w:r>
    </w:p>
    <w:p>
      <w:pPr>
        <w:pStyle w:val="Heading2"/>
        <w:spacing w:after="80" w:before="160"/>
      </w:pPr>
      <w:r>
        <w:rPr>
          <w:rFonts w:ascii="Arial" w:cs="Arial" w:eastAsia="Arial" w:hAnsi="Arial"/>
        </w:rPr>
        <w:t xml:space="preserve">Critérios avaliados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Mapeamento de casos de uso de IA por área/departamento/BU</w:t>
            </w:r>
          </w:p>
          <w:p>
            <w:pPr>
              <w:pStyle w:val="ListParagraph"/>
              <w:numPr>
                <w:ilvl w:val="0"/>
                <w:numId w:val="2"/>
              </w:numPr>
              <w:spacing w:after="30" w:before="30"/>
            </w:pPr>
            <w:r>
              <w:rPr>
                <w:rFonts w:ascii="Arial" w:cs="Arial" w:eastAsia="Arial" w:hAnsi="Arial"/>
                <w:b w:val="false"/>
                <w:bCs w:val="false"/>
                <w:color w:val="0D1B2A"/>
                <w:sz w:val="18"/>
                <w:szCs w:val="18"/>
              </w:rPr>
              <w:t xml:space="preserve">Métricas de valor específicas por unidade (não consolidadas apenas no nível corporativo)</w:t>
            </w:r>
          </w:p>
          <w:p>
            <w:pPr>
              <w:pStyle w:val="ListParagraph"/>
              <w:numPr>
                <w:ilvl w:val="0"/>
                <w:numId w:val="2"/>
              </w:numPr>
              <w:spacing w:after="30" w:before="30"/>
            </w:pPr>
            <w:r>
              <w:rPr>
                <w:rFonts w:ascii="Arial" w:cs="Arial" w:eastAsia="Arial" w:hAnsi="Arial"/>
                <w:b w:val="false"/>
                <w:bCs w:val="false"/>
                <w:color w:val="0D1B2A"/>
                <w:sz w:val="18"/>
                <w:szCs w:val="18"/>
              </w:rPr>
              <w:t xml:space="preserve">Priorização de investimentos em IA baseada em potencial por unidade</w:t>
            </w:r>
          </w:p>
        </w:tc>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Grau de autonomia das unidades para iniciar e gerenciar projetos de IA</w:t>
            </w:r>
          </w:p>
          <w:p>
            <w:pPr>
              <w:pStyle w:val="ListParagraph"/>
              <w:numPr>
                <w:ilvl w:val="0"/>
                <w:numId w:val="2"/>
              </w:numPr>
              <w:spacing w:after="30" w:before="30"/>
            </w:pPr>
            <w:r>
              <w:rPr>
                <w:rFonts w:ascii="Arial" w:cs="Arial" w:eastAsia="Arial" w:hAnsi="Arial"/>
                <w:b w:val="false"/>
                <w:bCs w:val="false"/>
                <w:color w:val="0D1B2A"/>
                <w:sz w:val="18"/>
                <w:szCs w:val="18"/>
              </w:rPr>
              <w:t xml:space="preserve">Mecanismos de compartilhamento de soluções entre unidades (evitar reinvenção)</w:t>
            </w:r>
          </w:p>
          <w:p>
            <w:pPr>
              <w:pStyle w:val="ListParagraph"/>
              <w:numPr>
                <w:ilvl w:val="0"/>
                <w:numId w:val="2"/>
              </w:numPr>
              <w:spacing w:after="30" w:before="30"/>
            </w:pPr>
            <w:r>
              <w:rPr>
                <w:rFonts w:ascii="Arial" w:cs="Arial" w:eastAsia="Arial" w:hAnsi="Arial"/>
                <w:b w:val="false"/>
                <w:bCs w:val="false"/>
                <w:color w:val="0D1B2A"/>
                <w:sz w:val="18"/>
                <w:szCs w:val="18"/>
              </w:rPr>
              <w:t xml:space="preserve">Identificação de áreas lideres que podem servir como referência interna</w:t>
            </w:r>
          </w:p>
        </w:tc>
      </w:tr>
    </w:tbl>
    <w:p>
      <w:pPr>
        <w:spacing w:after="0" w:before="80"/>
      </w:pPr>
      <w:r>
        <w:rPr>
          <w:sz w:val="2"/>
          <w:szCs w:val="2"/>
        </w:rPr>
        <w:t xml:space="preserve"/>
      </w:r>
    </w:p>
    <w:p>
      <w:pPr>
        <w:pStyle w:val="Heading2"/>
        <w:spacing w:after="80" w:before="160"/>
      </w:pPr>
      <w:r>
        <w:rPr>
          <w:rFonts w:ascii="Arial" w:cs="Arial" w:eastAsia="Arial" w:hAnsi="Arial"/>
        </w:rPr>
        <w:t xml:space="preserve">Por que esta dimensão importa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008F7A" w:val="clear"/>
            <w:tcMar>
              <w:top w:type="dxa" w:w="80"/>
              <w:left w:type="dxa" w:w="60"/>
              <w:bottom w:type="dxa" w:w="80"/>
              <w:right w:type="dxa" w:w="40"/>
            </w:tcMar>
          </w:tcPr>
          <w:p>
            <w:pPr>
              <w:spacing w:after="100" w:before="0"/>
              <w:jc w:val="left"/>
            </w:pPr>
            <w:r>
              <w:rPr>
                <w:rFonts w:ascii="Arial" w:cs="Arial" w:eastAsia="Arial" w:hAnsi="Arial"/>
                <w:b w:val="false"/>
                <w:bCs w:val="false"/>
                <w:color w:val="0D1B2A"/>
                <w:sz w:val="20"/>
                <w:szCs w:val="20"/>
              </w:rPr>
              <w:t xml:space="preserve"> </w:t>
            </w:r>
          </w:p>
        </w:tc>
        <w:tc>
          <w:tcPr>
            <w:tcW w:type="dxa" w:w="9220"/>
            <w:tcBorders>
              <w:top w:val="none" w:color="FFFFFF" w:sz="0"/>
              <w:left w:val="none" w:color="FFFFFF" w:sz="0"/>
              <w:bottom w:val="none" w:color="FFFFFF" w:sz="0"/>
              <w:right w:val="none" w:color="FFFFFF" w:sz="0"/>
            </w:tcBorders>
            <w:shd w:fill="E0F5F1" w:val="clear"/>
            <w:tcMar>
              <w:top w:type="dxa" w:w="100"/>
              <w:left w:type="dxa" w:w="140"/>
              <w:bottom w:type="dxa" w:w="100"/>
              <w:right w:type="dxa" w:w="120"/>
            </w:tcMar>
          </w:tcPr>
          <w:p>
            <w:pPr>
              <w:spacing w:after="100" w:before="0"/>
              <w:jc w:val="left"/>
            </w:pPr>
            <w:r>
              <w:rPr>
                <w:rFonts w:ascii="Arial" w:cs="Arial" w:eastAsia="Arial" w:hAnsi="Arial"/>
                <w:b w:val="false"/>
                <w:bCs w:val="false"/>
                <w:color w:val="0D1B2A"/>
                <w:sz w:val="18"/>
                <w:szCs w:val="18"/>
              </w:rPr>
              <w:t xml:space="preserve">O valor da IA não é uniforme. Algumas áreas têm potencial 10x maior que outras. Empresas que tratam IA como investimento centralizado perdem a oportunidade de concentrar recursos onde o retorno é maior.</w:t>
            </w:r>
          </w:p>
        </w:tc>
      </w:tr>
    </w:tbl>
    <w:p>
      <w:pPr>
        <w:spacing w:after="0" w:before="80"/>
      </w:pPr>
      <w:r>
        <w:rPr>
          <w:sz w:val="2"/>
          <w:szCs w:val="2"/>
        </w:rPr>
        <w:t xml:space="preserve"/>
      </w:r>
    </w:p>
    <w:p>
      <w:pPr>
        <w:pStyle w:val="Heading2"/>
        <w:spacing w:after="80" w:before="160"/>
      </w:pPr>
      <w:r>
        <w:rPr>
          <w:rFonts w:ascii="Arial" w:cs="Arial" w:eastAsia="Arial" w:hAnsi="Arial"/>
        </w:rPr>
        <w:t xml:space="preserve">O que queremos mostrar ao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5A623" w:val="clear"/>
            <w:tcMar>
              <w:top w:type="dxa" w:w="80"/>
              <w:left w:type="dxa" w:w="60"/>
              <w:bottom w:type="dxa" w:w="80"/>
              <w:right w:type="dxa" w:w="40"/>
            </w:tcMar>
          </w:tcPr>
          <w:p>
            <w:pPr>
              <w:spacing w:after="100" w:before="0"/>
              <w:jc w:val="center"/>
            </w:pPr>
            <w:r>
              <w:rPr>
                <w:rFonts w:ascii="Arial" w:cs="Arial" w:eastAsia="Arial" w:hAnsi="Arial"/>
                <w:b/>
                <w:bCs/>
                <w:color w:val="FFFFFF"/>
                <w:sz w:val="20"/>
                <w:szCs w:val="20"/>
              </w:rPr>
              <w:t xml:space="preserve">!</w:t>
            </w:r>
          </w:p>
        </w:tc>
        <w:tc>
          <w:tcPr>
            <w:tcW w:type="dxa" w:w="9160"/>
            <w:tcBorders>
              <w:top w:val="none" w:color="FFFFFF" w:sz="0"/>
              <w:left w:val="none" w:color="FFFFFF" w:sz="0"/>
              <w:bottom w:val="none" w:color="FFFFFF" w:sz="0"/>
              <w:right w:val="none" w:color="FFFFFF" w:sz="0"/>
            </w:tcBorders>
            <w:shd w:fill="FFF8EC" w:val="clear"/>
            <w:tcMar>
              <w:top w:type="dxa" w:w="90"/>
              <w:left w:type="dxa" w:w="140"/>
              <w:bottom w:type="dxa" w:w="90"/>
              <w:right w:type="dxa" w:w="120"/>
            </w:tcMar>
          </w:tcPr>
          <w:p>
            <w:pPr>
              <w:spacing w:after="100" w:before="0"/>
              <w:jc w:val="left"/>
            </w:pPr>
            <w:r>
              <w:rPr>
                <w:rFonts w:ascii="Arial" w:cs="Arial" w:eastAsia="Arial" w:hAnsi="Arial"/>
                <w:b w:val="false"/>
                <w:bCs w:val="false"/>
                <w:color w:val="0D1B2A"/>
                <w:sz w:val="18"/>
                <w:szCs w:val="18"/>
              </w:rPr>
              <w:t xml:space="preserve">Identificar onde IA realmente gera valor na organização e onde os recursos estão sendo desperdiçados. Score baixo revela programa de IA centralizado que não está criando tracção no negócio — a forma mais comum de desperdício em transformação digital.</w:t>
            </w:r>
          </w:p>
        </w:tc>
      </w:tr>
    </w:tbl>
    <w:p>
      <w:pPr>
        <w:spacing w:after="0" w:before="80"/>
      </w:pPr>
      <w:r>
        <w:rPr>
          <w:sz w:val="2"/>
          <w:szCs w:val="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none" w:color="FFFFFF" w:sz="0"/>
              <w:left w:val="none" w:color="FFFFFF" w:sz="0"/>
              <w:bottom w:val="none" w:color="FFFFFF" w:sz="0"/>
              <w:right w:val="none" w:color="FFFFFF" w:sz="0"/>
            </w:tcBorders>
            <w:shd w:fill="534AB7" w:val="clear"/>
            <w:tcMar>
              <w:top w:type="dxa" w:w="120"/>
              <w:left w:type="dxa" w:w="100"/>
              <w:bottom w:type="dxa" w:w="120"/>
              <w:right w:type="dxa" w:w="80"/>
            </w:tcMar>
          </w:tcPr>
          <w:p>
            <w:pPr>
              <w:spacing w:after="100" w:before="0"/>
              <w:jc w:val="center"/>
            </w:pPr>
            <w:r>
              <w:rPr>
                <w:rFonts w:ascii="Arial" w:cs="Arial" w:eastAsia="Arial" w:hAnsi="Arial"/>
                <w:b/>
                <w:bCs/>
                <w:color w:val="FFFFFF"/>
                <w:sz w:val="28"/>
                <w:szCs w:val="28"/>
              </w:rPr>
              <w:t xml:space="preserve">D10</w:t>
            </w:r>
          </w:p>
        </w:tc>
        <w:tc>
          <w:tcPr>
            <w:tcW w:type="dxa" w:w="7560"/>
            <w:tcBorders>
              <w:top w:val="none" w:color="FFFFFF" w:sz="0"/>
              <w:left w:val="none" w:color="FFFFFF" w:sz="0"/>
              <w:bottom w:val="none" w:color="FFFFFF" w:sz="0"/>
              <w:right w:val="none" w:color="FFFFFF" w:sz="0"/>
            </w:tcBorders>
            <w:shd w:fill="0D1B2A" w:val="clear"/>
            <w:tcMar>
              <w:top w:type="dxa" w:w="100"/>
              <w:left w:type="dxa" w:w="140"/>
              <w:bottom w:type="dxa" w:w="100"/>
              <w:right w:type="dxa" w:w="100"/>
            </w:tcMar>
          </w:tcPr>
          <w:p>
            <w:pPr>
              <w:spacing w:after="100" w:before="0"/>
              <w:jc w:val="left"/>
            </w:pPr>
            <w:r>
              <w:rPr>
                <w:rFonts w:ascii="Arial" w:cs="Arial" w:eastAsia="Arial" w:hAnsi="Arial"/>
                <w:b/>
                <w:bCs/>
                <w:color w:val="FFFFFF"/>
                <w:sz w:val="26"/>
                <w:szCs w:val="26"/>
              </w:rPr>
              <w:t xml:space="preserve">Talentos e Capacidades</w:t>
            </w:r>
          </w:p>
        </w:tc>
        <w:tc>
          <w:tcPr>
            <w:tcW w:type="dxa" w:w="1000"/>
            <w:tcBorders>
              <w:top w:val="none" w:color="FFFFFF" w:sz="0"/>
              <w:left w:val="none" w:color="FFFFFF" w:sz="0"/>
              <w:bottom w:val="none" w:color="FFFFFF" w:sz="0"/>
              <w:right w:val="none" w:color="FFFFFF" w:sz="0"/>
            </w:tcBorders>
            <w:shd w:fill="008F7A" w:val="clear"/>
            <w:tcMar>
              <w:top w:type="dxa" w:w="100"/>
              <w:left w:type="dxa" w:w="80"/>
              <w:bottom w:type="dxa" w:w="100"/>
              <w:right w:type="dxa" w:w="80"/>
            </w:tcMar>
          </w:tcPr>
          <w:p>
            <w:pPr>
              <w:spacing w:after="100" w:before="0"/>
              <w:jc w:val="center"/>
            </w:pPr>
            <w:r>
              <w:rPr>
                <w:rFonts w:ascii="Arial" w:cs="Arial" w:eastAsia="Arial" w:hAnsi="Arial"/>
                <w:b w:val="false"/>
                <w:bCs w:val="false"/>
                <w:color w:val="E0F5F1"/>
                <w:sz w:val="13"/>
                <w:szCs w:val="13"/>
              </w:rPr>
              <w:t xml:space="preserve">Peso</w:t>
            </w:r>
            <w:r>
              <w:rPr>
                <w:rFonts w:ascii="Arial" w:cs="Arial" w:eastAsia="Arial" w:hAnsi="Arial"/>
                <w:b/>
                <w:bCs/>
                <w:color w:val="FFFFFF"/>
                <w:sz w:val="22"/>
                <w:szCs w:val="22"/>
              </w:rPr>
              <w:t xml:space="preserve"> 5%</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shd w:fill="534AB7" w:val="clear"/>
            <w:tcMar>
              <w:top w:type="dxa" w:w="70"/>
              <w:left w:type="dxa" w:w="100"/>
              <w:bottom w:type="dxa" w:w="70"/>
              <w:right w:type="dxa" w:w="80"/>
            </w:tcMar>
          </w:tcPr>
          <w:p>
            <w:pPr>
              <w:spacing w:after="100" w:before="0"/>
              <w:jc w:val="center"/>
            </w:pPr>
            <w:r>
              <w:rPr>
                <w:rFonts w:ascii="Arial" w:cs="Arial" w:eastAsia="Arial" w:hAnsi="Arial"/>
                <w:b/>
                <w:bCs/>
                <w:color w:val="FFFFFF"/>
                <w:sz w:val="17"/>
                <w:szCs w:val="17"/>
              </w:rPr>
              <w:t xml:space="preserve">SFIA</w:t>
            </w:r>
          </w:p>
        </w:tc>
        <w:tc>
          <w:tcPr>
            <w:tcW w:type="dxa" w:w="4680"/>
            <w:tcBorders>
              <w:top w:val="single" w:color="FFFFFF" w:sz="1"/>
              <w:left w:val="single" w:color="FFFFFF" w:sz="1"/>
              <w:bottom w:val="single" w:color="FFFFFF" w:sz="1"/>
              <w:right w:val="single" w:color="FFFFFF" w:sz="1"/>
            </w:tcBorders>
            <w:shd w:fill="1E8449" w:val="clear"/>
            <w:tcMar>
              <w:top w:type="dxa" w:w="70"/>
              <w:left w:type="dxa" w:w="100"/>
              <w:bottom w:type="dxa" w:w="70"/>
              <w:right w:type="dxa" w:w="80"/>
            </w:tcMar>
          </w:tcPr>
          <w:p>
            <w:pPr>
              <w:spacing w:after="100" w:before="0"/>
              <w:jc w:val="center"/>
            </w:pPr>
            <w:r>
              <w:rPr>
                <w:rFonts w:ascii="Arial" w:cs="Arial" w:eastAsia="Arial" w:hAnsi="Arial"/>
                <w:b/>
                <w:bCs/>
                <w:color w:val="FFFFFF"/>
                <w:sz w:val="17"/>
                <w:szCs w:val="17"/>
              </w:rPr>
              <w:t xml:space="preserve">Gartner</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8F7A" w:val="clear"/>
            <w:tcMar>
              <w:top w:type="dxa" w:w="70"/>
              <w:left w:type="dxa" w:w="80"/>
              <w:bottom w:type="dxa" w:w="70"/>
              <w:right w:type="dxa" w:w="60"/>
            </w:tcMar>
          </w:tcPr>
          <w:p>
            <w:pPr>
              <w:spacing w:after="100" w:before="0"/>
              <w:jc w:val="center"/>
            </w:pPr>
            <w:r>
              <w:rPr>
                <w:rFonts w:ascii="Arial" w:cs="Arial" w:eastAsia="Arial" w:hAnsi="Arial"/>
                <w:b/>
                <w:bCs/>
                <w:color w:val="FFFFFF"/>
                <w:sz w:val="14"/>
                <w:szCs w:val="14"/>
              </w:rPr>
              <w:t xml:space="preserve">MIT</w:t>
            </w:r>
          </w:p>
        </w:tc>
        <w:tc>
          <w:tcPr>
            <w:tcW w:type="dxa" w:w="8960"/>
            <w:tcBorders>
              <w:top w:val="none" w:color="FFFFFF" w:sz="0"/>
              <w:left w:val="none" w:color="FFFFFF" w:sz="0"/>
              <w:bottom w:val="none" w:color="FFFFFF" w:sz="0"/>
              <w:right w:val="none" w:color="FFFFFF" w:sz="0"/>
            </w:tcBorders>
            <w:shd w:fill="E0F5F1" w:val="clear"/>
            <w:tcMar>
              <w:top w:type="dxa" w:w="70"/>
              <w:left w:type="dxa" w:w="120"/>
              <w:bottom w:type="dxa" w:w="70"/>
              <w:right w:type="dxa" w:w="100"/>
            </w:tcMar>
          </w:tcPr>
          <w:p>
            <w:pPr>
              <w:spacing w:after="100" w:before="0"/>
              <w:jc w:val="left"/>
            </w:pPr>
            <w:r>
              <w:rPr>
                <w:rFonts w:ascii="Arial" w:cs="Arial" w:eastAsia="Arial" w:hAnsi="Arial"/>
                <w:b/>
                <w:bCs/>
                <w:color w:val="008F7A"/>
                <w:sz w:val="17"/>
                <w:szCs w:val="17"/>
              </w:rPr>
              <w:t xml:space="preserve">Precondição para o Estágio 3. O MIT CISR define que a transição de Oportunista para Estruturado exige 'talentos distribuídos em múltiplas equipes' — não concentrados em 1 ou 2 pessoas. Esta dimensão mede essa distribuição.</w:t>
            </w:r>
          </w:p>
        </w:tc>
      </w:tr>
    </w:tbl>
    <w:p>
      <w:pPr>
        <w:spacing w:after="0" w:before="80"/>
      </w:pPr>
      <w:r>
        <w:rPr>
          <w:sz w:val="2"/>
          <w:szCs w:val="2"/>
        </w:rPr>
        <w:t xml:space="preserve"/>
      </w:r>
    </w:p>
    <w:p>
      <w:pPr>
        <w:pStyle w:val="Heading2"/>
        <w:spacing w:after="80" w:before="160"/>
      </w:pPr>
      <w:r>
        <w:rPr>
          <w:rFonts w:ascii="Arial" w:cs="Arial" w:eastAsia="Arial" w:hAnsi="Arial"/>
        </w:rPr>
        <w:t xml:space="preserve">De onde veio esta dimensão</w:t>
      </w:r>
    </w:p>
    <w:p>
      <w:pPr>
        <w:spacing w:after="120" w:before="0"/>
        <w:jc w:val="left"/>
      </w:pPr>
      <w:r>
        <w:rPr>
          <w:rFonts w:ascii="Arial" w:cs="Arial" w:eastAsia="Arial" w:hAnsi="Arial"/>
          <w:b w:val="false"/>
          <w:bCs w:val="false"/>
          <w:color w:val="0D1B2A"/>
          <w:sz w:val="20"/>
          <w:szCs w:val="20"/>
        </w:rPr>
        <w:t xml:space="preserve">O SFIA (Skills Framework for the Information Age, 2021) fornece o framework de classificação de competências em IA: 7 níveis de responsabilidade, 97 habilidades com descritores comportamentais. O Gartner complementa com dados quantitativos de mercado: benchmarks de headcount por setor, projeções de escassez de talentos e estratégias de build/buy/borrow validadas. Enquanto a Dimensão 4 (Pessoas e Cultura) avalia o ambiente coletivo — cultura, mentalidade, políticas —, a Dimensão 10 avalia o inventário técnico individual: quem a empresa tem, quem precisa e qual o gap.</w:t>
      </w:r>
    </w:p>
    <w:p>
      <w:pPr>
        <w:pStyle w:val="Heading2"/>
        <w:spacing w:after="80" w:before="160"/>
      </w:pPr>
      <w:r>
        <w:rPr>
          <w:rFonts w:ascii="Arial" w:cs="Arial" w:eastAsia="Arial" w:hAnsi="Arial"/>
        </w:rPr>
        <w:t xml:space="preserve">Critérios avaliados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Mapeamento quantitativo de profissionais especializados por papel de IA</w:t>
            </w:r>
          </w:p>
          <w:p>
            <w:pPr>
              <w:pStyle w:val="ListParagraph"/>
              <w:numPr>
                <w:ilvl w:val="0"/>
                <w:numId w:val="2"/>
              </w:numPr>
              <w:spacing w:after="30" w:before="30"/>
            </w:pPr>
            <w:r>
              <w:rPr>
                <w:rFonts w:ascii="Arial" w:cs="Arial" w:eastAsia="Arial" w:hAnsi="Arial"/>
                <w:b w:val="false"/>
                <w:bCs w:val="false"/>
                <w:color w:val="0D1B2A"/>
                <w:sz w:val="18"/>
                <w:szCs w:val="18"/>
              </w:rPr>
              <w:t xml:space="preserve">Análise formal de gap: competências atuais vs. necessárias para o roadmap</w:t>
            </w:r>
          </w:p>
          <w:p>
            <w:pPr>
              <w:pStyle w:val="ListParagraph"/>
              <w:numPr>
                <w:ilvl w:val="0"/>
                <w:numId w:val="2"/>
              </w:numPr>
              <w:spacing w:after="30" w:before="30"/>
            </w:pPr>
            <w:r>
              <w:rPr>
                <w:rFonts w:ascii="Arial" w:cs="Arial" w:eastAsia="Arial" w:hAnsi="Arial"/>
                <w:b w:val="false"/>
                <w:bCs w:val="false"/>
                <w:color w:val="0D1B2A"/>
                <w:sz w:val="18"/>
                <w:szCs w:val="18"/>
              </w:rPr>
              <w:t xml:space="preserve">Estratégia documentada de build / buy / borrow para talentos de IA</w:t>
            </w:r>
          </w:p>
        </w:tc>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Programas de upskilling e reskilling com métricas de adesão e impacto</w:t>
            </w:r>
          </w:p>
          <w:p>
            <w:pPr>
              <w:pStyle w:val="ListParagraph"/>
              <w:numPr>
                <w:ilvl w:val="0"/>
                <w:numId w:val="2"/>
              </w:numPr>
              <w:spacing w:after="30" w:before="30"/>
            </w:pPr>
            <w:r>
              <w:rPr>
                <w:rFonts w:ascii="Arial" w:cs="Arial" w:eastAsia="Arial" w:hAnsi="Arial"/>
                <w:b w:val="false"/>
                <w:bCs w:val="false"/>
                <w:color w:val="0D1B2A"/>
                <w:sz w:val="18"/>
                <w:szCs w:val="18"/>
              </w:rPr>
              <w:t xml:space="preserve">Senioridade e distribuição da equipe de IA por área e nível</w:t>
            </w:r>
          </w:p>
          <w:p>
            <w:pPr>
              <w:pStyle w:val="ListParagraph"/>
              <w:numPr>
                <w:ilvl w:val="0"/>
                <w:numId w:val="2"/>
              </w:numPr>
              <w:spacing w:after="30" w:before="30"/>
            </w:pPr>
            <w:r>
              <w:rPr>
                <w:rFonts w:ascii="Arial" w:cs="Arial" w:eastAsia="Arial" w:hAnsi="Arial"/>
                <w:b w:val="false"/>
                <w:bCs w:val="false"/>
                <w:color w:val="0D1B2A"/>
                <w:sz w:val="18"/>
                <w:szCs w:val="18"/>
              </w:rPr>
              <w:t xml:space="preserve">Papéis especializados presentes: MLOps Engineer, AI Ethics Officer, Prompt Engineer, Data Steward</w:t>
            </w:r>
          </w:p>
        </w:tc>
      </w:tr>
    </w:tbl>
    <w:p>
      <w:pPr>
        <w:spacing w:after="0" w:before="80"/>
      </w:pPr>
      <w:r>
        <w:rPr>
          <w:sz w:val="2"/>
          <w:szCs w:val="2"/>
        </w:rPr>
        <w:t xml:space="preserve"/>
      </w:r>
    </w:p>
    <w:p>
      <w:pPr>
        <w:pStyle w:val="Heading2"/>
        <w:spacing w:after="80" w:before="160"/>
      </w:pPr>
      <w:r>
        <w:rPr>
          <w:rFonts w:ascii="Arial" w:cs="Arial" w:eastAsia="Arial" w:hAnsi="Arial"/>
        </w:rPr>
        <w:t xml:space="preserve">Por que esta dimensão importa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008F7A" w:val="clear"/>
            <w:tcMar>
              <w:top w:type="dxa" w:w="80"/>
              <w:left w:type="dxa" w:w="60"/>
              <w:bottom w:type="dxa" w:w="80"/>
              <w:right w:type="dxa" w:w="40"/>
            </w:tcMar>
          </w:tcPr>
          <w:p>
            <w:pPr>
              <w:spacing w:after="100" w:before="0"/>
              <w:jc w:val="left"/>
            </w:pPr>
            <w:r>
              <w:rPr>
                <w:rFonts w:ascii="Arial" w:cs="Arial" w:eastAsia="Arial" w:hAnsi="Arial"/>
                <w:b w:val="false"/>
                <w:bCs w:val="false"/>
                <w:color w:val="0D1B2A"/>
                <w:sz w:val="20"/>
                <w:szCs w:val="20"/>
              </w:rPr>
              <w:t xml:space="preserve"> </w:t>
            </w:r>
          </w:p>
        </w:tc>
        <w:tc>
          <w:tcPr>
            <w:tcW w:type="dxa" w:w="9220"/>
            <w:tcBorders>
              <w:top w:val="none" w:color="FFFFFF" w:sz="0"/>
              <w:left w:val="none" w:color="FFFFFF" w:sz="0"/>
              <w:bottom w:val="none" w:color="FFFFFF" w:sz="0"/>
              <w:right w:val="none" w:color="FFFFFF" w:sz="0"/>
            </w:tcBorders>
            <w:shd w:fill="E0F5F1" w:val="clear"/>
            <w:tcMar>
              <w:top w:type="dxa" w:w="100"/>
              <w:left w:type="dxa" w:w="140"/>
              <w:bottom w:type="dxa" w:w="100"/>
              <w:right w:type="dxa" w:w="120"/>
            </w:tcMar>
          </w:tcPr>
          <w:p>
            <w:pPr>
              <w:spacing w:after="100" w:before="0"/>
              <w:jc w:val="left"/>
            </w:pPr>
            <w:r>
              <w:rPr>
                <w:rFonts w:ascii="Arial" w:cs="Arial" w:eastAsia="Arial" w:hAnsi="Arial"/>
                <w:b w:val="false"/>
                <w:bCs w:val="false"/>
                <w:color w:val="0D1B2A"/>
                <w:sz w:val="18"/>
                <w:szCs w:val="18"/>
              </w:rPr>
              <w:t xml:space="preserve">Talentos de IA são escassos globalmente (gap de 2,5 milhões de profissionais — LinkedIn Workforce Report, 2024). Organizações sem estratégia deliberada de talentos dependem de poucos indivíduos e ficam reféns do mercado.</w:t>
            </w:r>
          </w:p>
        </w:tc>
      </w:tr>
    </w:tbl>
    <w:p>
      <w:pPr>
        <w:spacing w:after="0" w:before="80"/>
      </w:pPr>
      <w:r>
        <w:rPr>
          <w:sz w:val="2"/>
          <w:szCs w:val="2"/>
        </w:rPr>
        <w:t xml:space="preserve"/>
      </w:r>
    </w:p>
    <w:p>
      <w:pPr>
        <w:pStyle w:val="Heading2"/>
        <w:spacing w:after="80" w:before="160"/>
      </w:pPr>
      <w:r>
        <w:rPr>
          <w:rFonts w:ascii="Arial" w:cs="Arial" w:eastAsia="Arial" w:hAnsi="Arial"/>
        </w:rPr>
        <w:t xml:space="preserve">O que queremos mostrar ao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5A623" w:val="clear"/>
            <w:tcMar>
              <w:top w:type="dxa" w:w="80"/>
              <w:left w:type="dxa" w:w="60"/>
              <w:bottom w:type="dxa" w:w="80"/>
              <w:right w:type="dxa" w:w="40"/>
            </w:tcMar>
          </w:tcPr>
          <w:p>
            <w:pPr>
              <w:spacing w:after="100" w:before="0"/>
              <w:jc w:val="center"/>
            </w:pPr>
            <w:r>
              <w:rPr>
                <w:rFonts w:ascii="Arial" w:cs="Arial" w:eastAsia="Arial" w:hAnsi="Arial"/>
                <w:b/>
                <w:bCs/>
                <w:color w:val="FFFFFF"/>
                <w:sz w:val="20"/>
                <w:szCs w:val="20"/>
              </w:rPr>
              <w:t xml:space="preserve">!</w:t>
            </w:r>
          </w:p>
        </w:tc>
        <w:tc>
          <w:tcPr>
            <w:tcW w:type="dxa" w:w="9160"/>
            <w:tcBorders>
              <w:top w:val="none" w:color="FFFFFF" w:sz="0"/>
              <w:left w:val="none" w:color="FFFFFF" w:sz="0"/>
              <w:bottom w:val="none" w:color="FFFFFF" w:sz="0"/>
              <w:right w:val="none" w:color="FFFFFF" w:sz="0"/>
            </w:tcBorders>
            <w:shd w:fill="FFF8EC" w:val="clear"/>
            <w:tcMar>
              <w:top w:type="dxa" w:w="90"/>
              <w:left w:type="dxa" w:w="140"/>
              <w:bottom w:type="dxa" w:w="90"/>
              <w:right w:type="dxa" w:w="120"/>
            </w:tcMar>
          </w:tcPr>
          <w:p>
            <w:pPr>
              <w:spacing w:after="100" w:before="0"/>
              <w:jc w:val="left"/>
            </w:pPr>
            <w:r>
              <w:rPr>
                <w:rFonts w:ascii="Arial" w:cs="Arial" w:eastAsia="Arial" w:hAnsi="Arial"/>
                <w:b w:val="false"/>
                <w:bCs w:val="false"/>
                <w:color w:val="0D1B2A"/>
                <w:sz w:val="18"/>
                <w:szCs w:val="18"/>
              </w:rPr>
              <w:t xml:space="preserve">Expor o gap entre a ambição do programa de IA e a capacidade real de execução. É muito comum encontrar roadmaps ambiciosos em empresas que têm 2 data scientists para executá-los. Score baixo aqui é o principal preditor de atraso em projetos de IA.</w:t>
            </w:r>
          </w:p>
        </w:tc>
      </w:tr>
    </w:tbl>
    <w:p>
      <w:pPr>
        <w:spacing w:after="0" w:before="80"/>
      </w:pPr>
      <w:r>
        <w:rPr>
          <w:sz w:val="2"/>
          <w:szCs w:val="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none" w:color="FFFFFF" w:sz="0"/>
              <w:left w:val="none" w:color="FFFFFF" w:sz="0"/>
              <w:bottom w:val="none" w:color="FFFFFF" w:sz="0"/>
              <w:right w:val="none" w:color="FFFFFF" w:sz="0"/>
            </w:tcBorders>
            <w:shd w:fill="C0392B" w:val="clear"/>
            <w:tcMar>
              <w:top w:type="dxa" w:w="120"/>
              <w:left w:type="dxa" w:w="100"/>
              <w:bottom w:type="dxa" w:w="120"/>
              <w:right w:type="dxa" w:w="80"/>
            </w:tcMar>
          </w:tcPr>
          <w:p>
            <w:pPr>
              <w:spacing w:after="100" w:before="0"/>
              <w:jc w:val="center"/>
            </w:pPr>
            <w:r>
              <w:rPr>
                <w:rFonts w:ascii="Arial" w:cs="Arial" w:eastAsia="Arial" w:hAnsi="Arial"/>
                <w:b/>
                <w:bCs/>
                <w:color w:val="FFFFFF"/>
                <w:sz w:val="28"/>
                <w:szCs w:val="28"/>
              </w:rPr>
              <w:t xml:space="preserve">D11</w:t>
            </w:r>
          </w:p>
        </w:tc>
        <w:tc>
          <w:tcPr>
            <w:tcW w:type="dxa" w:w="7560"/>
            <w:tcBorders>
              <w:top w:val="none" w:color="FFFFFF" w:sz="0"/>
              <w:left w:val="none" w:color="FFFFFF" w:sz="0"/>
              <w:bottom w:val="none" w:color="FFFFFF" w:sz="0"/>
              <w:right w:val="none" w:color="FFFFFF" w:sz="0"/>
            </w:tcBorders>
            <w:shd w:fill="0D1B2A" w:val="clear"/>
            <w:tcMar>
              <w:top w:type="dxa" w:w="100"/>
              <w:left w:type="dxa" w:w="140"/>
              <w:bottom w:type="dxa" w:w="100"/>
              <w:right w:type="dxa" w:w="100"/>
            </w:tcMar>
          </w:tcPr>
          <w:p>
            <w:pPr>
              <w:spacing w:after="100" w:before="0"/>
              <w:jc w:val="left"/>
            </w:pPr>
            <w:r>
              <w:rPr>
                <w:rFonts w:ascii="Arial" w:cs="Arial" w:eastAsia="Arial" w:hAnsi="Arial"/>
                <w:b/>
                <w:bCs/>
                <w:color w:val="FFFFFF"/>
                <w:sz w:val="26"/>
                <w:szCs w:val="26"/>
              </w:rPr>
              <w:t xml:space="preserve">Conformidade Regulatória</w:t>
            </w:r>
          </w:p>
        </w:tc>
        <w:tc>
          <w:tcPr>
            <w:tcW w:type="dxa" w:w="1000"/>
            <w:tcBorders>
              <w:top w:val="none" w:color="FFFFFF" w:sz="0"/>
              <w:left w:val="none" w:color="FFFFFF" w:sz="0"/>
              <w:bottom w:val="none" w:color="FFFFFF" w:sz="0"/>
              <w:right w:val="none" w:color="FFFFFF" w:sz="0"/>
            </w:tcBorders>
            <w:shd w:fill="008F7A" w:val="clear"/>
            <w:tcMar>
              <w:top w:type="dxa" w:w="100"/>
              <w:left w:type="dxa" w:w="80"/>
              <w:bottom w:type="dxa" w:w="100"/>
              <w:right w:type="dxa" w:w="80"/>
            </w:tcMar>
          </w:tcPr>
          <w:p>
            <w:pPr>
              <w:spacing w:after="100" w:before="0"/>
              <w:jc w:val="center"/>
            </w:pPr>
            <w:r>
              <w:rPr>
                <w:rFonts w:ascii="Arial" w:cs="Arial" w:eastAsia="Arial" w:hAnsi="Arial"/>
                <w:b w:val="false"/>
                <w:bCs w:val="false"/>
                <w:color w:val="E0F5F1"/>
                <w:sz w:val="13"/>
                <w:szCs w:val="13"/>
              </w:rPr>
              <w:t xml:space="preserve">Peso</w:t>
            </w:r>
            <w:r>
              <w:rPr>
                <w:rFonts w:ascii="Arial" w:cs="Arial" w:eastAsia="Arial" w:hAnsi="Arial"/>
                <w:b/>
                <w:bCs/>
                <w:color w:val="FFFFFF"/>
                <w:sz w:val="22"/>
                <w:szCs w:val="22"/>
              </w:rPr>
              <w:t xml:space="preserve"> 5%</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1A5E8A" w:val="clear"/>
            <w:tcMar>
              <w:top w:type="dxa" w:w="70"/>
              <w:left w:type="dxa" w:w="100"/>
              <w:bottom w:type="dxa" w:w="70"/>
              <w:right w:type="dxa" w:w="80"/>
            </w:tcMar>
          </w:tcPr>
          <w:p>
            <w:pPr>
              <w:spacing w:after="100" w:before="0"/>
              <w:jc w:val="center"/>
            </w:pPr>
            <w:r>
              <w:rPr>
                <w:rFonts w:ascii="Arial" w:cs="Arial" w:eastAsia="Arial" w:hAnsi="Arial"/>
                <w:b/>
                <w:bCs/>
                <w:color w:val="FFFFFF"/>
                <w:sz w:val="17"/>
                <w:szCs w:val="17"/>
              </w:rPr>
              <w:t xml:space="preserve">NIST AI RMF</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8F7A" w:val="clear"/>
            <w:tcMar>
              <w:top w:type="dxa" w:w="70"/>
              <w:left w:type="dxa" w:w="80"/>
              <w:bottom w:type="dxa" w:w="70"/>
              <w:right w:type="dxa" w:w="60"/>
            </w:tcMar>
          </w:tcPr>
          <w:p>
            <w:pPr>
              <w:spacing w:after="100" w:before="0"/>
              <w:jc w:val="center"/>
            </w:pPr>
            <w:r>
              <w:rPr>
                <w:rFonts w:ascii="Arial" w:cs="Arial" w:eastAsia="Arial" w:hAnsi="Arial"/>
                <w:b/>
                <w:bCs/>
                <w:color w:val="FFFFFF"/>
                <w:sz w:val="14"/>
                <w:szCs w:val="14"/>
              </w:rPr>
              <w:t xml:space="preserve">MIT</w:t>
            </w:r>
          </w:p>
        </w:tc>
        <w:tc>
          <w:tcPr>
            <w:tcW w:type="dxa" w:w="8960"/>
            <w:tcBorders>
              <w:top w:val="none" w:color="FFFFFF" w:sz="0"/>
              <w:left w:val="none" w:color="FFFFFF" w:sz="0"/>
              <w:bottom w:val="none" w:color="FFFFFF" w:sz="0"/>
              <w:right w:val="none" w:color="FFFFFF" w:sz="0"/>
            </w:tcBorders>
            <w:shd w:fill="E0F5F1" w:val="clear"/>
            <w:tcMar>
              <w:top w:type="dxa" w:w="70"/>
              <w:left w:type="dxa" w:w="120"/>
              <w:bottom w:type="dxa" w:w="70"/>
              <w:right w:type="dxa" w:w="100"/>
            </w:tcMar>
          </w:tcPr>
          <w:p>
            <w:pPr>
              <w:spacing w:after="100" w:before="0"/>
              <w:jc w:val="left"/>
            </w:pPr>
            <w:r>
              <w:rPr>
                <w:rFonts w:ascii="Arial" w:cs="Arial" w:eastAsia="Arial" w:hAnsi="Arial"/>
                <w:b/>
                <w:bCs/>
                <w:color w:val="008F7A"/>
                <w:sz w:val="17"/>
                <w:szCs w:val="17"/>
              </w:rPr>
              <w:t xml:space="preserve">Requisito crescente do Estágio 3 em diante. O MIT CISR (Estágio 3 — Estruturado) exige 'governança e compliance avançados' como condição para o nível Gerenciado.</w:t>
            </w:r>
          </w:p>
        </w:tc>
      </w:tr>
    </w:tbl>
    <w:p>
      <w:pPr>
        <w:spacing w:after="0" w:before="80"/>
      </w:pPr>
      <w:r>
        <w:rPr>
          <w:sz w:val="2"/>
          <w:szCs w:val="2"/>
        </w:rPr>
        <w:t xml:space="preserve"/>
      </w:r>
    </w:p>
    <w:p>
      <w:pPr>
        <w:pStyle w:val="Heading2"/>
        <w:spacing w:after="80" w:before="160"/>
      </w:pPr>
      <w:r>
        <w:rPr>
          <w:rFonts w:ascii="Arial" w:cs="Arial" w:eastAsia="Arial" w:hAnsi="Arial"/>
        </w:rPr>
        <w:t xml:space="preserve">De onde veio esta dimensão</w:t>
      </w:r>
    </w:p>
    <w:p>
      <w:pPr>
        <w:spacing w:after="120" w:before="0"/>
        <w:jc w:val="left"/>
      </w:pPr>
      <w:r>
        <w:rPr>
          <w:rFonts w:ascii="Arial" w:cs="Arial" w:eastAsia="Arial" w:hAnsi="Arial"/>
          <w:b w:val="false"/>
          <w:bCs w:val="false"/>
          <w:color w:val="0D1B2A"/>
          <w:sz w:val="20"/>
          <w:szCs w:val="20"/>
        </w:rPr>
        <w:t xml:space="preserve">Derivada do NIST AI RMF (AI 100-1, 2023) e do EU AI Act (Regulamento (UE) 2024/1689), os dois documentos normativos mais relevantes globalmente para IA responsável. O NIST AI RMF estrutura a gestão de conformidade em: GOVERN (políticas), MAP (mapeamento de riscos por contexto), MEASURE (métricas de conformidade) e MANAGE (planos de tratamento). O EU AI Act introduziu classificação de risco obrigatória para sistemas de IA, com penalidades de até 7% do faturamento global. Esta dimensão avalia a preparação da organização para este ambiente regulatório em aceleração.</w:t>
      </w:r>
    </w:p>
    <w:p>
      <w:pPr>
        <w:pStyle w:val="Heading2"/>
        <w:spacing w:after="80" w:before="160"/>
      </w:pPr>
      <w:r>
        <w:rPr>
          <w:rFonts w:ascii="Arial" w:cs="Arial" w:eastAsia="Arial" w:hAnsi="Arial"/>
        </w:rPr>
        <w:t xml:space="preserve">Critérios avaliados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Mapeamento completo de regulações aplicáveis: LGPD, GDPR, EU AI Act, regulações setoriais</w:t>
            </w:r>
          </w:p>
          <w:p>
            <w:pPr>
              <w:pStyle w:val="ListParagraph"/>
              <w:numPr>
                <w:ilvl w:val="0"/>
                <w:numId w:val="2"/>
              </w:numPr>
              <w:spacing w:after="30" w:before="30"/>
            </w:pPr>
            <w:r>
              <w:rPr>
                <w:rFonts w:ascii="Arial" w:cs="Arial" w:eastAsia="Arial" w:hAnsi="Arial"/>
                <w:b w:val="false"/>
                <w:bCs w:val="false"/>
                <w:color w:val="0D1B2A"/>
                <w:sz w:val="18"/>
                <w:szCs w:val="18"/>
              </w:rPr>
              <w:t xml:space="preserve">Conformidade documentada com LGPD/GDPR para dados de treinamento, inferência e armazenamento</w:t>
            </w:r>
          </w:p>
          <w:p>
            <w:pPr>
              <w:pStyle w:val="ListParagraph"/>
              <w:numPr>
                <w:ilvl w:val="0"/>
                <w:numId w:val="2"/>
              </w:numPr>
              <w:spacing w:after="30" w:before="30"/>
            </w:pPr>
            <w:r>
              <w:rPr>
                <w:rFonts w:ascii="Arial" w:cs="Arial" w:eastAsia="Arial" w:hAnsi="Arial"/>
                <w:b w:val="false"/>
                <w:bCs w:val="false"/>
                <w:color w:val="0D1B2A"/>
                <w:sz w:val="18"/>
                <w:szCs w:val="18"/>
              </w:rPr>
              <w:t xml:space="preserve">Consideração de regulações setoriais específicas (BACEN, ANVISA, SUSEP, etc.)</w:t>
            </w:r>
          </w:p>
        </w:tc>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Preparação para regulações emergentes: AI Act, NIST AI 600-1 para IA generativa</w:t>
            </w:r>
          </w:p>
          <w:p>
            <w:pPr>
              <w:pStyle w:val="ListParagraph"/>
              <w:numPr>
                <w:ilvl w:val="0"/>
                <w:numId w:val="2"/>
              </w:numPr>
              <w:spacing w:after="30" w:before="30"/>
            </w:pPr>
            <w:r>
              <w:rPr>
                <w:rFonts w:ascii="Arial" w:cs="Arial" w:eastAsia="Arial" w:hAnsi="Arial"/>
                <w:b w:val="false"/>
                <w:bCs w:val="false"/>
                <w:color w:val="0D1B2A"/>
                <w:sz w:val="18"/>
                <w:szCs w:val="18"/>
              </w:rPr>
              <w:t xml:space="preserve">Documentação de explicabilidade dos modelos (XAI) para auditorias</w:t>
            </w:r>
          </w:p>
          <w:p>
            <w:pPr>
              <w:pStyle w:val="ListParagraph"/>
              <w:numPr>
                <w:ilvl w:val="0"/>
                <w:numId w:val="2"/>
              </w:numPr>
              <w:spacing w:after="30" w:before="30"/>
            </w:pPr>
            <w:r>
              <w:rPr>
                <w:rFonts w:ascii="Arial" w:cs="Arial" w:eastAsia="Arial" w:hAnsi="Arial"/>
                <w:b w:val="false"/>
                <w:bCs w:val="false"/>
                <w:color w:val="0D1B2A"/>
                <w:sz w:val="18"/>
                <w:szCs w:val="18"/>
              </w:rPr>
              <w:t xml:space="preserve">Processos formais de auditoria de conformidade com frequência definida</w:t>
            </w:r>
          </w:p>
        </w:tc>
      </w:tr>
    </w:tbl>
    <w:p>
      <w:pPr>
        <w:spacing w:after="0" w:before="80"/>
      </w:pPr>
      <w:r>
        <w:rPr>
          <w:sz w:val="2"/>
          <w:szCs w:val="2"/>
        </w:rPr>
        <w:t xml:space="preserve"/>
      </w:r>
    </w:p>
    <w:p>
      <w:pPr>
        <w:pStyle w:val="Heading2"/>
        <w:spacing w:after="80" w:before="160"/>
      </w:pPr>
      <w:r>
        <w:rPr>
          <w:rFonts w:ascii="Arial" w:cs="Arial" w:eastAsia="Arial" w:hAnsi="Arial"/>
        </w:rPr>
        <w:t xml:space="preserve">Por que esta dimensão importa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008F7A" w:val="clear"/>
            <w:tcMar>
              <w:top w:type="dxa" w:w="80"/>
              <w:left w:type="dxa" w:w="60"/>
              <w:bottom w:type="dxa" w:w="80"/>
              <w:right w:type="dxa" w:w="40"/>
            </w:tcMar>
          </w:tcPr>
          <w:p>
            <w:pPr>
              <w:spacing w:after="100" w:before="0"/>
              <w:jc w:val="left"/>
            </w:pPr>
            <w:r>
              <w:rPr>
                <w:rFonts w:ascii="Arial" w:cs="Arial" w:eastAsia="Arial" w:hAnsi="Arial"/>
                <w:b w:val="false"/>
                <w:bCs w:val="false"/>
                <w:color w:val="0D1B2A"/>
                <w:sz w:val="20"/>
                <w:szCs w:val="20"/>
              </w:rPr>
              <w:t xml:space="preserve"> </w:t>
            </w:r>
          </w:p>
        </w:tc>
        <w:tc>
          <w:tcPr>
            <w:tcW w:type="dxa" w:w="9220"/>
            <w:tcBorders>
              <w:top w:val="none" w:color="FFFFFF" w:sz="0"/>
              <w:left w:val="none" w:color="FFFFFF" w:sz="0"/>
              <w:bottom w:val="none" w:color="FFFFFF" w:sz="0"/>
              <w:right w:val="none" w:color="FFFFFF" w:sz="0"/>
            </w:tcBorders>
            <w:shd w:fill="E0F5F1" w:val="clear"/>
            <w:tcMar>
              <w:top w:type="dxa" w:w="100"/>
              <w:left w:type="dxa" w:w="140"/>
              <w:bottom w:type="dxa" w:w="100"/>
              <w:right w:type="dxa" w:w="120"/>
            </w:tcMar>
          </w:tcPr>
          <w:p>
            <w:pPr>
              <w:spacing w:after="100" w:before="0"/>
              <w:jc w:val="left"/>
            </w:pPr>
            <w:r>
              <w:rPr>
                <w:rFonts w:ascii="Arial" w:cs="Arial" w:eastAsia="Arial" w:hAnsi="Arial"/>
                <w:b w:val="false"/>
                <w:bCs w:val="false"/>
                <w:color w:val="0D1B2A"/>
                <w:sz w:val="18"/>
                <w:szCs w:val="18"/>
              </w:rPr>
              <w:t xml:space="preserve">O ambiente regulatório de IA evoluiu de recomendações para obrigações legais em 2024. Empresas não preparadas enfrentam multas, restrições operacionais e danos reputacionais que podem ser mais caros que o custo da conformidade.</w:t>
            </w:r>
          </w:p>
        </w:tc>
      </w:tr>
    </w:tbl>
    <w:p>
      <w:pPr>
        <w:spacing w:after="0" w:before="80"/>
      </w:pPr>
      <w:r>
        <w:rPr>
          <w:sz w:val="2"/>
          <w:szCs w:val="2"/>
        </w:rPr>
        <w:t xml:space="preserve"/>
      </w:r>
    </w:p>
    <w:p>
      <w:pPr>
        <w:pStyle w:val="Heading2"/>
        <w:spacing w:after="80" w:before="160"/>
      </w:pPr>
      <w:r>
        <w:rPr>
          <w:rFonts w:ascii="Arial" w:cs="Arial" w:eastAsia="Arial" w:hAnsi="Arial"/>
        </w:rPr>
        <w:t xml:space="preserve">O que queremos mostrar ao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5A623" w:val="clear"/>
            <w:tcMar>
              <w:top w:type="dxa" w:w="80"/>
              <w:left w:type="dxa" w:w="60"/>
              <w:bottom w:type="dxa" w:w="80"/>
              <w:right w:type="dxa" w:w="40"/>
            </w:tcMar>
          </w:tcPr>
          <w:p>
            <w:pPr>
              <w:spacing w:after="100" w:before="0"/>
              <w:jc w:val="center"/>
            </w:pPr>
            <w:r>
              <w:rPr>
                <w:rFonts w:ascii="Arial" w:cs="Arial" w:eastAsia="Arial" w:hAnsi="Arial"/>
                <w:b/>
                <w:bCs/>
                <w:color w:val="FFFFFF"/>
                <w:sz w:val="20"/>
                <w:szCs w:val="20"/>
              </w:rPr>
              <w:t xml:space="preserve">!</w:t>
            </w:r>
          </w:p>
        </w:tc>
        <w:tc>
          <w:tcPr>
            <w:tcW w:type="dxa" w:w="9160"/>
            <w:tcBorders>
              <w:top w:val="none" w:color="FFFFFF" w:sz="0"/>
              <w:left w:val="none" w:color="FFFFFF" w:sz="0"/>
              <w:bottom w:val="none" w:color="FFFFFF" w:sz="0"/>
              <w:right w:val="none" w:color="FFFFFF" w:sz="0"/>
            </w:tcBorders>
            <w:shd w:fill="FFF8EC" w:val="clear"/>
            <w:tcMar>
              <w:top w:type="dxa" w:w="90"/>
              <w:left w:type="dxa" w:w="140"/>
              <w:bottom w:type="dxa" w:w="90"/>
              <w:right w:type="dxa" w:w="120"/>
            </w:tcMar>
          </w:tcPr>
          <w:p>
            <w:pPr>
              <w:spacing w:after="100" w:before="0"/>
              <w:jc w:val="left"/>
            </w:pPr>
            <w:r>
              <w:rPr>
                <w:rFonts w:ascii="Arial" w:cs="Arial" w:eastAsia="Arial" w:hAnsi="Arial"/>
                <w:b w:val="false"/>
                <w:bCs w:val="false"/>
                <w:color w:val="0D1B2A"/>
                <w:sz w:val="18"/>
                <w:szCs w:val="18"/>
              </w:rPr>
              <w:t xml:space="preserve">Identificar o nível de exposição regulatória da empresa no uso de IA. Score baixo aqui, especialmente em setores regulados (financeiro, saúde, telecom), é um risco existencial em cenário de fiscalização crescente pelo EU AI Act e sua influência sobre a regulação brasileira.</w:t>
            </w:r>
          </w:p>
        </w:tc>
      </w:tr>
    </w:tbl>
    <w:p>
      <w:pPr>
        <w:spacing w:after="0" w:before="80"/>
      </w:pPr>
      <w:r>
        <w:rPr>
          <w:sz w:val="2"/>
          <w:szCs w:val="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none" w:color="FFFFFF" w:sz="0"/>
              <w:left w:val="none" w:color="FFFFFF" w:sz="0"/>
              <w:bottom w:val="none" w:color="FFFFFF" w:sz="0"/>
              <w:right w:val="none" w:color="FFFFFF" w:sz="0"/>
            </w:tcBorders>
            <w:shd w:fill="F5A623" w:val="clear"/>
            <w:tcMar>
              <w:top w:type="dxa" w:w="120"/>
              <w:left w:type="dxa" w:w="100"/>
              <w:bottom w:type="dxa" w:w="120"/>
              <w:right w:type="dxa" w:w="80"/>
            </w:tcMar>
          </w:tcPr>
          <w:p>
            <w:pPr>
              <w:spacing w:after="100" w:before="0"/>
              <w:jc w:val="center"/>
            </w:pPr>
            <w:r>
              <w:rPr>
                <w:rFonts w:ascii="Arial" w:cs="Arial" w:eastAsia="Arial" w:hAnsi="Arial"/>
                <w:b/>
                <w:bCs/>
                <w:color w:val="FFFFFF"/>
                <w:sz w:val="28"/>
                <w:szCs w:val="28"/>
              </w:rPr>
              <w:t xml:space="preserve">D12</w:t>
            </w:r>
          </w:p>
        </w:tc>
        <w:tc>
          <w:tcPr>
            <w:tcW w:type="dxa" w:w="7560"/>
            <w:tcBorders>
              <w:top w:val="none" w:color="FFFFFF" w:sz="0"/>
              <w:left w:val="none" w:color="FFFFFF" w:sz="0"/>
              <w:bottom w:val="none" w:color="FFFFFF" w:sz="0"/>
              <w:right w:val="none" w:color="FFFFFF" w:sz="0"/>
            </w:tcBorders>
            <w:shd w:fill="0D1B2A" w:val="clear"/>
            <w:tcMar>
              <w:top w:type="dxa" w:w="100"/>
              <w:left w:type="dxa" w:w="140"/>
              <w:bottom w:type="dxa" w:w="100"/>
              <w:right w:type="dxa" w:w="100"/>
            </w:tcMar>
          </w:tcPr>
          <w:p>
            <w:pPr>
              <w:spacing w:after="100" w:before="0"/>
              <w:jc w:val="left"/>
            </w:pPr>
            <w:r>
              <w:rPr>
                <w:rFonts w:ascii="Arial" w:cs="Arial" w:eastAsia="Arial" w:hAnsi="Arial"/>
                <w:b/>
                <w:bCs/>
                <w:color w:val="FFFFFF"/>
                <w:sz w:val="26"/>
                <w:szCs w:val="26"/>
              </w:rPr>
              <w:t xml:space="preserve">Prontidão para Mudança</w:t>
            </w:r>
          </w:p>
        </w:tc>
        <w:tc>
          <w:tcPr>
            <w:tcW w:type="dxa" w:w="1000"/>
            <w:tcBorders>
              <w:top w:val="none" w:color="FFFFFF" w:sz="0"/>
              <w:left w:val="none" w:color="FFFFFF" w:sz="0"/>
              <w:bottom w:val="none" w:color="FFFFFF" w:sz="0"/>
              <w:right w:val="none" w:color="FFFFFF" w:sz="0"/>
            </w:tcBorders>
            <w:shd w:fill="008F7A" w:val="clear"/>
            <w:tcMar>
              <w:top w:type="dxa" w:w="100"/>
              <w:left w:type="dxa" w:w="80"/>
              <w:bottom w:type="dxa" w:w="100"/>
              <w:right w:type="dxa" w:w="80"/>
            </w:tcMar>
          </w:tcPr>
          <w:p>
            <w:pPr>
              <w:spacing w:after="100" w:before="0"/>
              <w:jc w:val="center"/>
            </w:pPr>
            <w:r>
              <w:rPr>
                <w:rFonts w:ascii="Arial" w:cs="Arial" w:eastAsia="Arial" w:hAnsi="Arial"/>
                <w:b w:val="false"/>
                <w:bCs w:val="false"/>
                <w:color w:val="E0F5F1"/>
                <w:sz w:val="13"/>
                <w:szCs w:val="13"/>
              </w:rPr>
              <w:t xml:space="preserve">Peso</w:t>
            </w:r>
            <w:r>
              <w:rPr>
                <w:rFonts w:ascii="Arial" w:cs="Arial" w:eastAsia="Arial" w:hAnsi="Arial"/>
                <w:b/>
                <w:bCs/>
                <w:color w:val="FFFFFF"/>
                <w:sz w:val="22"/>
                <w:szCs w:val="22"/>
              </w:rPr>
              <w:t xml:space="preserve"> 5%</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5A623" w:val="clear"/>
            <w:tcMar>
              <w:top w:type="dxa" w:w="70"/>
              <w:left w:type="dxa" w:w="100"/>
              <w:bottom w:type="dxa" w:w="70"/>
              <w:right w:type="dxa" w:w="80"/>
            </w:tcMar>
          </w:tcPr>
          <w:p>
            <w:pPr>
              <w:spacing w:after="100" w:before="0"/>
              <w:jc w:val="center"/>
            </w:pPr>
            <w:r>
              <w:rPr>
                <w:rFonts w:ascii="Arial" w:cs="Arial" w:eastAsia="Arial" w:hAnsi="Arial"/>
                <w:b/>
                <w:bCs/>
                <w:color w:val="FFFFFF"/>
                <w:sz w:val="17"/>
                <w:szCs w:val="17"/>
              </w:rPr>
              <w:t xml:space="preserve">ADKAR/Prosci</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8F7A" w:val="clear"/>
            <w:tcMar>
              <w:top w:type="dxa" w:w="70"/>
              <w:left w:type="dxa" w:w="80"/>
              <w:bottom w:type="dxa" w:w="70"/>
              <w:right w:type="dxa" w:w="60"/>
            </w:tcMar>
          </w:tcPr>
          <w:p>
            <w:pPr>
              <w:spacing w:after="100" w:before="0"/>
              <w:jc w:val="center"/>
            </w:pPr>
            <w:r>
              <w:rPr>
                <w:rFonts w:ascii="Arial" w:cs="Arial" w:eastAsia="Arial" w:hAnsi="Arial"/>
                <w:b/>
                <w:bCs/>
                <w:color w:val="FFFFFF"/>
                <w:sz w:val="14"/>
                <w:szCs w:val="14"/>
              </w:rPr>
              <w:t xml:space="preserve">MIT</w:t>
            </w:r>
          </w:p>
        </w:tc>
        <w:tc>
          <w:tcPr>
            <w:tcW w:type="dxa" w:w="8960"/>
            <w:tcBorders>
              <w:top w:val="none" w:color="FFFFFF" w:sz="0"/>
              <w:left w:val="none" w:color="FFFFFF" w:sz="0"/>
              <w:bottom w:val="none" w:color="FFFFFF" w:sz="0"/>
              <w:right w:val="none" w:color="FFFFFF" w:sz="0"/>
            </w:tcBorders>
            <w:shd w:fill="E0F5F1" w:val="clear"/>
            <w:tcMar>
              <w:top w:type="dxa" w:w="70"/>
              <w:left w:type="dxa" w:w="120"/>
              <w:bottom w:type="dxa" w:w="70"/>
              <w:right w:type="dxa" w:w="100"/>
            </w:tcMar>
          </w:tcPr>
          <w:p>
            <w:pPr>
              <w:spacing w:after="100" w:before="0"/>
              <w:jc w:val="left"/>
            </w:pPr>
            <w:r>
              <w:rPr>
                <w:rFonts w:ascii="Arial" w:cs="Arial" w:eastAsia="Arial" w:hAnsi="Arial"/>
                <w:b/>
                <w:bCs/>
                <w:color w:val="008F7A"/>
                <w:sz w:val="17"/>
                <w:szCs w:val="17"/>
              </w:rPr>
              <w:t xml:space="preserve">Preditor da velocidade de progressão entre todos os estágios. O MIT CISR documenta que a principal razão para organizações ficarem presas entre estágios é resistência organizacional — não falta de tecnologia.</w:t>
            </w:r>
          </w:p>
        </w:tc>
      </w:tr>
    </w:tbl>
    <w:p>
      <w:pPr>
        <w:spacing w:after="0" w:before="80"/>
      </w:pPr>
      <w:r>
        <w:rPr>
          <w:sz w:val="2"/>
          <w:szCs w:val="2"/>
        </w:rPr>
        <w:t xml:space="preserve"/>
      </w:r>
    </w:p>
    <w:p>
      <w:pPr>
        <w:pStyle w:val="Heading2"/>
        <w:spacing w:after="80" w:before="160"/>
      </w:pPr>
      <w:r>
        <w:rPr>
          <w:rFonts w:ascii="Arial" w:cs="Arial" w:eastAsia="Arial" w:hAnsi="Arial"/>
        </w:rPr>
        <w:t xml:space="preserve">De onde veio esta dimensão</w:t>
      </w:r>
    </w:p>
    <w:p>
      <w:pPr>
        <w:spacing w:after="120" w:before="0"/>
        <w:jc w:val="left"/>
      </w:pPr>
      <w:r>
        <w:rPr>
          <w:rFonts w:ascii="Arial" w:cs="Arial" w:eastAsia="Arial" w:hAnsi="Arial"/>
          <w:b w:val="false"/>
          <w:bCs w:val="false"/>
          <w:color w:val="0D1B2A"/>
          <w:sz w:val="20"/>
          <w:szCs w:val="20"/>
        </w:rPr>
        <w:t xml:space="preserve">Derivada do modelo ADKAR (Prosci, 2018), o framework mais utilizado globalmente para gestão de mudanças organizacionais. ADKAR avalia 5 elementos: Awareness (consciência da necessidade), Desire (desejo de participar), Knowledge (saber como mudar), Ability (capacidade de implementar) e Reinforcement (mecanismos de sustentação). O ADKAR foi adaptado ao contexto específico de transformação com IA — onde a resistência frequentemente vem de medo de substituição e falta de compreensão sobre o papel humano em processos com IA.</w:t>
      </w:r>
    </w:p>
    <w:p>
      <w:pPr>
        <w:pStyle w:val="Heading2"/>
        <w:spacing w:after="80" w:before="160"/>
      </w:pPr>
      <w:r>
        <w:rPr>
          <w:rFonts w:ascii="Arial" w:cs="Arial" w:eastAsia="Arial" w:hAnsi="Arial"/>
        </w:rPr>
        <w:t xml:space="preserve">Critérios avaliados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Consciência organizacional sobre IA: colaboradores entendem o porquê da transformação</w:t>
            </w:r>
          </w:p>
          <w:p>
            <w:pPr>
              <w:pStyle w:val="ListParagraph"/>
              <w:numPr>
                <w:ilvl w:val="0"/>
                <w:numId w:val="2"/>
              </w:numPr>
              <w:spacing w:after="30" w:before="30"/>
            </w:pPr>
            <w:r>
              <w:rPr>
                <w:rFonts w:ascii="Arial" w:cs="Arial" w:eastAsia="Arial" w:hAnsi="Arial"/>
                <w:b w:val="false"/>
                <w:bCs w:val="false"/>
                <w:color w:val="0D1B2A"/>
                <w:sz w:val="18"/>
                <w:szCs w:val="18"/>
              </w:rPr>
              <w:t xml:space="preserve">Desejo e motivação: pesquisas de engajamento mostram abertura para IA</w:t>
            </w:r>
          </w:p>
          <w:p>
            <w:pPr>
              <w:pStyle w:val="ListParagraph"/>
              <w:numPr>
                <w:ilvl w:val="0"/>
                <w:numId w:val="2"/>
              </w:numPr>
              <w:spacing w:after="30" w:before="30"/>
            </w:pPr>
            <w:r>
              <w:rPr>
                <w:rFonts w:ascii="Arial" w:cs="Arial" w:eastAsia="Arial" w:hAnsi="Arial"/>
                <w:b w:val="false"/>
                <w:bCs w:val="false"/>
                <w:color w:val="0D1B2A"/>
                <w:sz w:val="18"/>
                <w:szCs w:val="18"/>
              </w:rPr>
              <w:t xml:space="preserve">Mapeamento de resistências: personas resistentes identificadas e endereçadas</w:t>
            </w:r>
          </w:p>
        </w:tc>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Rede de agentes de mudança: champions de IA em diferentes áreas e níveis</w:t>
            </w:r>
          </w:p>
          <w:p>
            <w:pPr>
              <w:pStyle w:val="ListParagraph"/>
              <w:numPr>
                <w:ilvl w:val="0"/>
                <w:numId w:val="2"/>
              </w:numPr>
              <w:spacing w:after="30" w:before="30"/>
            </w:pPr>
            <w:r>
              <w:rPr>
                <w:rFonts w:ascii="Arial" w:cs="Arial" w:eastAsia="Arial" w:hAnsi="Arial"/>
                <w:b w:val="false"/>
                <w:bCs w:val="false"/>
                <w:color w:val="0D1B2A"/>
                <w:sz w:val="18"/>
                <w:szCs w:val="18"/>
              </w:rPr>
              <w:t xml:space="preserve">Capacidade de absorção: ritmo real de adoção de novas ferramentas e processos</w:t>
            </w:r>
          </w:p>
          <w:p>
            <w:pPr>
              <w:pStyle w:val="ListParagraph"/>
              <w:numPr>
                <w:ilvl w:val="0"/>
                <w:numId w:val="2"/>
              </w:numPr>
              <w:spacing w:after="30" w:before="30"/>
            </w:pPr>
            <w:r>
              <w:rPr>
                <w:rFonts w:ascii="Arial" w:cs="Arial" w:eastAsia="Arial" w:hAnsi="Arial"/>
                <w:b w:val="false"/>
                <w:bCs w:val="false"/>
                <w:color w:val="0D1B2A"/>
                <w:sz w:val="18"/>
                <w:szCs w:val="18"/>
              </w:rPr>
              <w:t xml:space="preserve">Mecanismos de sustentação: reconhecimento, métricas e comunicação que reforçam a mudança</w:t>
            </w:r>
          </w:p>
        </w:tc>
      </w:tr>
    </w:tbl>
    <w:p>
      <w:pPr>
        <w:spacing w:after="0" w:before="80"/>
      </w:pPr>
      <w:r>
        <w:rPr>
          <w:sz w:val="2"/>
          <w:szCs w:val="2"/>
        </w:rPr>
        <w:t xml:space="preserve"/>
      </w:r>
    </w:p>
    <w:p>
      <w:pPr>
        <w:pStyle w:val="Heading2"/>
        <w:spacing w:after="80" w:before="160"/>
      </w:pPr>
      <w:r>
        <w:rPr>
          <w:rFonts w:ascii="Arial" w:cs="Arial" w:eastAsia="Arial" w:hAnsi="Arial"/>
        </w:rPr>
        <w:t xml:space="preserve">Por que esta dimensão importa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008F7A" w:val="clear"/>
            <w:tcMar>
              <w:top w:type="dxa" w:w="80"/>
              <w:left w:type="dxa" w:w="60"/>
              <w:bottom w:type="dxa" w:w="80"/>
              <w:right w:type="dxa" w:w="40"/>
            </w:tcMar>
          </w:tcPr>
          <w:p>
            <w:pPr>
              <w:spacing w:after="100" w:before="0"/>
              <w:jc w:val="left"/>
            </w:pPr>
            <w:r>
              <w:rPr>
                <w:rFonts w:ascii="Arial" w:cs="Arial" w:eastAsia="Arial" w:hAnsi="Arial"/>
                <w:b w:val="false"/>
                <w:bCs w:val="false"/>
                <w:color w:val="0D1B2A"/>
                <w:sz w:val="20"/>
                <w:szCs w:val="20"/>
              </w:rPr>
              <w:t xml:space="preserve"> </w:t>
            </w:r>
          </w:p>
        </w:tc>
        <w:tc>
          <w:tcPr>
            <w:tcW w:type="dxa" w:w="9220"/>
            <w:tcBorders>
              <w:top w:val="none" w:color="FFFFFF" w:sz="0"/>
              <w:left w:val="none" w:color="FFFFFF" w:sz="0"/>
              <w:bottom w:val="none" w:color="FFFFFF" w:sz="0"/>
              <w:right w:val="none" w:color="FFFFFF" w:sz="0"/>
            </w:tcBorders>
            <w:shd w:fill="E0F5F1" w:val="clear"/>
            <w:tcMar>
              <w:top w:type="dxa" w:w="100"/>
              <w:left w:type="dxa" w:w="140"/>
              <w:bottom w:type="dxa" w:w="100"/>
              <w:right w:type="dxa" w:w="120"/>
            </w:tcMar>
          </w:tcPr>
          <w:p>
            <w:pPr>
              <w:spacing w:after="100" w:before="0"/>
              <w:jc w:val="left"/>
            </w:pPr>
            <w:r>
              <w:rPr>
                <w:rFonts w:ascii="Arial" w:cs="Arial" w:eastAsia="Arial" w:hAnsi="Arial"/>
                <w:b w:val="false"/>
                <w:bCs w:val="false"/>
                <w:color w:val="0D1B2A"/>
                <w:sz w:val="18"/>
                <w:szCs w:val="18"/>
              </w:rPr>
              <w:t xml:space="preserve">Transformação com IA é fundamentalmente uma jornada de mudança organizacional. A tecnologia representa 20% do desafio; pessoas e processos representam 80%. Programas tecnicamente excelentes falham por falta de adoção.</w:t>
            </w:r>
          </w:p>
        </w:tc>
      </w:tr>
    </w:tbl>
    <w:p>
      <w:pPr>
        <w:spacing w:after="0" w:before="80"/>
      </w:pPr>
      <w:r>
        <w:rPr>
          <w:sz w:val="2"/>
          <w:szCs w:val="2"/>
        </w:rPr>
        <w:t xml:space="preserve"/>
      </w:r>
    </w:p>
    <w:p>
      <w:pPr>
        <w:pStyle w:val="Heading2"/>
        <w:spacing w:after="80" w:before="160"/>
      </w:pPr>
      <w:r>
        <w:rPr>
          <w:rFonts w:ascii="Arial" w:cs="Arial" w:eastAsia="Arial" w:hAnsi="Arial"/>
        </w:rPr>
        <w:t xml:space="preserve">O que queremos mostrar ao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5A623" w:val="clear"/>
            <w:tcMar>
              <w:top w:type="dxa" w:w="80"/>
              <w:left w:type="dxa" w:w="60"/>
              <w:bottom w:type="dxa" w:w="80"/>
              <w:right w:type="dxa" w:w="40"/>
            </w:tcMar>
          </w:tcPr>
          <w:p>
            <w:pPr>
              <w:spacing w:after="100" w:before="0"/>
              <w:jc w:val="center"/>
            </w:pPr>
            <w:r>
              <w:rPr>
                <w:rFonts w:ascii="Arial" w:cs="Arial" w:eastAsia="Arial" w:hAnsi="Arial"/>
                <w:b/>
                <w:bCs/>
                <w:color w:val="FFFFFF"/>
                <w:sz w:val="20"/>
                <w:szCs w:val="20"/>
              </w:rPr>
              <w:t xml:space="preserve">!</w:t>
            </w:r>
          </w:p>
        </w:tc>
        <w:tc>
          <w:tcPr>
            <w:tcW w:type="dxa" w:w="9160"/>
            <w:tcBorders>
              <w:top w:val="none" w:color="FFFFFF" w:sz="0"/>
              <w:left w:val="none" w:color="FFFFFF" w:sz="0"/>
              <w:bottom w:val="none" w:color="FFFFFF" w:sz="0"/>
              <w:right w:val="none" w:color="FFFFFF" w:sz="0"/>
            </w:tcBorders>
            <w:shd w:fill="FFF8EC" w:val="clear"/>
            <w:tcMar>
              <w:top w:type="dxa" w:w="90"/>
              <w:left w:type="dxa" w:w="140"/>
              <w:bottom w:type="dxa" w:w="90"/>
              <w:right w:type="dxa" w:w="120"/>
            </w:tcMar>
          </w:tcPr>
          <w:p>
            <w:pPr>
              <w:spacing w:after="100" w:before="0"/>
              <w:jc w:val="left"/>
            </w:pPr>
            <w:r>
              <w:rPr>
                <w:rFonts w:ascii="Arial" w:cs="Arial" w:eastAsia="Arial" w:hAnsi="Arial"/>
                <w:b w:val="false"/>
                <w:bCs w:val="false"/>
                <w:color w:val="0D1B2A"/>
                <w:sz w:val="18"/>
                <w:szCs w:val="18"/>
              </w:rPr>
              <w:t xml:space="preserve">Revelar se a empresa está tecnicamente pronta mas culturalmente resistente — ou vice-versa. A combinação de score alto em Estratégia (Dim 1) com score baixo em Prontidão para Mudança (Dim 12) é o perfil mais frustrante: liderança alinhada, mas corpo organizacional não preparado.</w:t>
            </w:r>
          </w:p>
        </w:tc>
      </w:tr>
    </w:tbl>
    <w:p>
      <w:pPr>
        <w:spacing w:after="0" w:before="80"/>
      </w:pPr>
      <w:r>
        <w:rPr>
          <w:sz w:val="2"/>
          <w:szCs w:val="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none" w:color="FFFFFF" w:sz="0"/>
              <w:left w:val="none" w:color="FFFFFF" w:sz="0"/>
              <w:bottom w:val="none" w:color="FFFFFF" w:sz="0"/>
              <w:right w:val="none" w:color="FFFFFF" w:sz="0"/>
            </w:tcBorders>
            <w:shd w:fill="1A5E8A" w:val="clear"/>
            <w:tcMar>
              <w:top w:type="dxa" w:w="120"/>
              <w:left w:type="dxa" w:w="100"/>
              <w:bottom w:type="dxa" w:w="120"/>
              <w:right w:type="dxa" w:w="80"/>
            </w:tcMar>
          </w:tcPr>
          <w:p>
            <w:pPr>
              <w:spacing w:after="100" w:before="0"/>
              <w:jc w:val="center"/>
            </w:pPr>
            <w:r>
              <w:rPr>
                <w:rFonts w:ascii="Arial" w:cs="Arial" w:eastAsia="Arial" w:hAnsi="Arial"/>
                <w:b/>
                <w:bCs/>
                <w:color w:val="FFFFFF"/>
                <w:sz w:val="28"/>
                <w:szCs w:val="28"/>
              </w:rPr>
              <w:t xml:space="preserve">D13</w:t>
            </w:r>
          </w:p>
        </w:tc>
        <w:tc>
          <w:tcPr>
            <w:tcW w:type="dxa" w:w="7560"/>
            <w:tcBorders>
              <w:top w:val="none" w:color="FFFFFF" w:sz="0"/>
              <w:left w:val="none" w:color="FFFFFF" w:sz="0"/>
              <w:bottom w:val="none" w:color="FFFFFF" w:sz="0"/>
              <w:right w:val="none" w:color="FFFFFF" w:sz="0"/>
            </w:tcBorders>
            <w:shd w:fill="0D1B2A" w:val="clear"/>
            <w:tcMar>
              <w:top w:type="dxa" w:w="100"/>
              <w:left w:type="dxa" w:w="140"/>
              <w:bottom w:type="dxa" w:w="100"/>
              <w:right w:type="dxa" w:w="100"/>
            </w:tcMar>
          </w:tcPr>
          <w:p>
            <w:pPr>
              <w:spacing w:after="100" w:before="0"/>
              <w:jc w:val="left"/>
            </w:pPr>
            <w:r>
              <w:rPr>
                <w:rFonts w:ascii="Arial" w:cs="Arial" w:eastAsia="Arial" w:hAnsi="Arial"/>
                <w:b/>
                <w:bCs/>
                <w:color w:val="FFFFFF"/>
                <w:sz w:val="26"/>
                <w:szCs w:val="26"/>
              </w:rPr>
              <w:t xml:space="preserve">Plataforma e Industrialização de IA</w:t>
            </w:r>
          </w:p>
        </w:tc>
        <w:tc>
          <w:tcPr>
            <w:tcW w:type="dxa" w:w="1000"/>
            <w:tcBorders>
              <w:top w:val="none" w:color="FFFFFF" w:sz="0"/>
              <w:left w:val="none" w:color="FFFFFF" w:sz="0"/>
              <w:bottom w:val="none" w:color="FFFFFF" w:sz="0"/>
              <w:right w:val="none" w:color="FFFFFF" w:sz="0"/>
            </w:tcBorders>
            <w:shd w:fill="008F7A" w:val="clear"/>
            <w:tcMar>
              <w:top w:type="dxa" w:w="100"/>
              <w:left w:type="dxa" w:w="80"/>
              <w:bottom w:type="dxa" w:w="100"/>
              <w:right w:type="dxa" w:w="80"/>
            </w:tcMar>
          </w:tcPr>
          <w:p>
            <w:pPr>
              <w:spacing w:after="100" w:before="0"/>
              <w:jc w:val="center"/>
            </w:pPr>
            <w:r>
              <w:rPr>
                <w:rFonts w:ascii="Arial" w:cs="Arial" w:eastAsia="Arial" w:hAnsi="Arial"/>
                <w:b w:val="false"/>
                <w:bCs w:val="false"/>
                <w:color w:val="E0F5F1"/>
                <w:sz w:val="13"/>
                <w:szCs w:val="13"/>
              </w:rPr>
              <w:t xml:space="preserve">Peso</w:t>
            </w:r>
            <w:r>
              <w:rPr>
                <w:rFonts w:ascii="Arial" w:cs="Arial" w:eastAsia="Arial" w:hAnsi="Arial"/>
                <w:b/>
                <w:bCs/>
                <w:color w:val="FFFFFF"/>
                <w:sz w:val="22"/>
                <w:szCs w:val="22"/>
              </w:rPr>
              <w:t xml:space="preserve"> 7%</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D1B2A" w:val="clear"/>
            <w:tcMar>
              <w:top w:type="dxa" w:w="70"/>
              <w:left w:type="dxa" w:w="100"/>
              <w:bottom w:type="dxa" w:w="70"/>
              <w:right w:type="dxa" w:w="80"/>
            </w:tcMar>
          </w:tcPr>
          <w:p>
            <w:pPr>
              <w:spacing w:after="100" w:before="0"/>
              <w:jc w:val="center"/>
            </w:pPr>
            <w:r>
              <w:rPr>
                <w:rFonts w:ascii="Arial" w:cs="Arial" w:eastAsia="Arial" w:hAnsi="Arial"/>
                <w:b/>
                <w:bCs/>
                <w:color w:val="FFFFFF"/>
                <w:sz w:val="17"/>
                <w:szCs w:val="17"/>
              </w:rPr>
              <w:t xml:space="preserve">MIT CISR</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8F7A" w:val="clear"/>
            <w:tcMar>
              <w:top w:type="dxa" w:w="70"/>
              <w:left w:type="dxa" w:w="80"/>
              <w:bottom w:type="dxa" w:w="70"/>
              <w:right w:type="dxa" w:w="60"/>
            </w:tcMar>
          </w:tcPr>
          <w:p>
            <w:pPr>
              <w:spacing w:after="100" w:before="0"/>
              <w:jc w:val="center"/>
            </w:pPr>
            <w:r>
              <w:rPr>
                <w:rFonts w:ascii="Arial" w:cs="Arial" w:eastAsia="Arial" w:hAnsi="Arial"/>
                <w:b/>
                <w:bCs/>
                <w:color w:val="FFFFFF"/>
                <w:sz w:val="14"/>
                <w:szCs w:val="14"/>
              </w:rPr>
              <w:t xml:space="preserve">MIT</w:t>
            </w:r>
          </w:p>
        </w:tc>
        <w:tc>
          <w:tcPr>
            <w:tcW w:type="dxa" w:w="8960"/>
            <w:tcBorders>
              <w:top w:val="none" w:color="FFFFFF" w:sz="0"/>
              <w:left w:val="none" w:color="FFFFFF" w:sz="0"/>
              <w:bottom w:val="none" w:color="FFFFFF" w:sz="0"/>
              <w:right w:val="none" w:color="FFFFFF" w:sz="0"/>
            </w:tcBorders>
            <w:shd w:fill="E0F5F1" w:val="clear"/>
            <w:tcMar>
              <w:top w:type="dxa" w:w="70"/>
              <w:left w:type="dxa" w:w="120"/>
              <w:bottom w:type="dxa" w:w="70"/>
              <w:right w:type="dxa" w:w="100"/>
            </w:tcMar>
          </w:tcPr>
          <w:p>
            <w:pPr>
              <w:spacing w:after="100" w:before="0"/>
              <w:jc w:val="left"/>
            </w:pPr>
            <w:r>
              <w:rPr>
                <w:rFonts w:ascii="Arial" w:cs="Arial" w:eastAsia="Arial" w:hAnsi="Arial"/>
                <w:b/>
                <w:bCs/>
                <w:color w:val="008F7A"/>
                <w:sz w:val="17"/>
                <w:szCs w:val="17"/>
              </w:rPr>
              <w:t xml:space="preserve">Requisito definitório do Estágio 3 (Estruturado). O MIT CISR descreve este estágio como aquele onde a organização para de construir cada solução do zero e começa a industrializar: plataforma centralizada, reuso de componentes, MLOps formalizado.</w:t>
            </w:r>
          </w:p>
        </w:tc>
      </w:tr>
    </w:tbl>
    <w:p>
      <w:pPr>
        <w:spacing w:after="0" w:before="80"/>
      </w:pPr>
      <w:r>
        <w:rPr>
          <w:sz w:val="2"/>
          <w:szCs w:val="2"/>
        </w:rPr>
        <w:t xml:space="preserve"/>
      </w:r>
    </w:p>
    <w:p>
      <w:pPr>
        <w:pStyle w:val="Heading2"/>
        <w:spacing w:after="80" w:before="160"/>
      </w:pPr>
      <w:r>
        <w:rPr>
          <w:rFonts w:ascii="Arial" w:cs="Arial" w:eastAsia="Arial" w:hAnsi="Arial"/>
        </w:rPr>
        <w:t xml:space="preserve">De onde veio esta dimensão</w:t>
      </w:r>
    </w:p>
    <w:p>
      <w:pPr>
        <w:spacing w:after="120" w:before="0"/>
        <w:jc w:val="left"/>
      </w:pPr>
      <w:r>
        <w:rPr>
          <w:rFonts w:ascii="Arial" w:cs="Arial" w:eastAsia="Arial" w:hAnsi="Arial"/>
          <w:b w:val="false"/>
          <w:bCs w:val="false"/>
          <w:color w:val="0D1B2A"/>
          <w:sz w:val="20"/>
          <w:szCs w:val="20"/>
        </w:rPr>
        <w:t xml:space="preserve">Esta dimensão representa uma extensão do modelo MIT CISR base, incorporando o conceito de industrialização de IA desenvolvido nos relatórios do CISR de 2023–2024. Industrializar IA significa transformar experimentos bem-sucedidos em capacidade organizacional: plataformas reutilizáveis, componentes padronizados, ferramentas self-service para times de negócio. Organizações que não industrializam ficam presas em soluções one-off que não escalam e custam caro para manter. Esta dimensão mede a maturidade da 'fábrica de IA' — o que chamamos internamente de Fábrica Agêntica.</w:t>
      </w:r>
    </w:p>
    <w:p>
      <w:pPr>
        <w:pStyle w:val="Heading2"/>
        <w:spacing w:after="80" w:before="160"/>
      </w:pPr>
      <w:r>
        <w:rPr>
          <w:rFonts w:ascii="Arial" w:cs="Arial" w:eastAsia="Arial" w:hAnsi="Arial"/>
        </w:rPr>
        <w:t xml:space="preserve">Critérios avaliados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Plataforma centralizada de IA com acesso self-service para times de produto e negócio</w:t>
            </w:r>
          </w:p>
          <w:p>
            <w:pPr>
              <w:pStyle w:val="ListParagraph"/>
              <w:numPr>
                <w:ilvl w:val="0"/>
                <w:numId w:val="2"/>
              </w:numPr>
              <w:spacing w:after="30" w:before="30"/>
            </w:pPr>
            <w:r>
              <w:rPr>
                <w:rFonts w:ascii="Arial" w:cs="Arial" w:eastAsia="Arial" w:hAnsi="Arial"/>
                <w:b w:val="false"/>
                <w:bCs w:val="false"/>
                <w:color w:val="0D1B2A"/>
                <w:sz w:val="18"/>
                <w:szCs w:val="18"/>
              </w:rPr>
              <w:t xml:space="preserve">Taxa de reuso de componentes e modelos entre projetos diferentes</w:t>
            </w:r>
          </w:p>
          <w:p>
            <w:pPr>
              <w:pStyle w:val="ListParagraph"/>
              <w:numPr>
                <w:ilvl w:val="0"/>
                <w:numId w:val="2"/>
              </w:numPr>
              <w:spacing w:after="30" w:before="30"/>
            </w:pPr>
            <w:r>
              <w:rPr>
                <w:rFonts w:ascii="Arial" w:cs="Arial" w:eastAsia="Arial" w:hAnsi="Arial"/>
                <w:b w:val="false"/>
                <w:bCs w:val="false"/>
                <w:color w:val="0D1B2A"/>
                <w:sz w:val="18"/>
                <w:szCs w:val="18"/>
              </w:rPr>
              <w:t xml:space="preserve">Catálogo de modelos e soluções de IA disponíveis internamente</w:t>
            </w:r>
          </w:p>
        </w:tc>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Tempo médio de colocação em produção (time-to-production) de um novo modelo</w:t>
            </w:r>
          </w:p>
          <w:p>
            <w:pPr>
              <w:pStyle w:val="ListParagraph"/>
              <w:numPr>
                <w:ilvl w:val="0"/>
                <w:numId w:val="2"/>
              </w:numPr>
              <w:spacing w:after="30" w:before="30"/>
            </w:pPr>
            <w:r>
              <w:rPr>
                <w:rFonts w:ascii="Arial" w:cs="Arial" w:eastAsia="Arial" w:hAnsi="Arial"/>
                <w:b w:val="false"/>
                <w:bCs w:val="false"/>
                <w:color w:val="0D1B2A"/>
                <w:sz w:val="18"/>
                <w:szCs w:val="18"/>
              </w:rPr>
              <w:t xml:space="preserve">Processo formal de onboarding de novos cases na plataforma</w:t>
            </w:r>
          </w:p>
          <w:p>
            <w:pPr>
              <w:pStyle w:val="ListParagraph"/>
              <w:numPr>
                <w:ilvl w:val="0"/>
                <w:numId w:val="2"/>
              </w:numPr>
              <w:spacing w:after="30" w:before="30"/>
            </w:pPr>
            <w:r>
              <w:rPr>
                <w:rFonts w:ascii="Arial" w:cs="Arial" w:eastAsia="Arial" w:hAnsi="Arial"/>
                <w:b w:val="false"/>
                <w:bCs w:val="false"/>
                <w:color w:val="0D1B2A"/>
                <w:sz w:val="18"/>
                <w:szCs w:val="18"/>
              </w:rPr>
              <w:t xml:space="preserve">Governança da plataforma: responsável, roadmap, SLAs e atualização de versões</w:t>
            </w:r>
          </w:p>
        </w:tc>
      </w:tr>
    </w:tbl>
    <w:p>
      <w:pPr>
        <w:spacing w:after="0" w:before="80"/>
      </w:pPr>
      <w:r>
        <w:rPr>
          <w:sz w:val="2"/>
          <w:szCs w:val="2"/>
        </w:rPr>
        <w:t xml:space="preserve"/>
      </w:r>
    </w:p>
    <w:p>
      <w:pPr>
        <w:pStyle w:val="Heading2"/>
        <w:spacing w:after="80" w:before="160"/>
      </w:pPr>
      <w:r>
        <w:rPr>
          <w:rFonts w:ascii="Arial" w:cs="Arial" w:eastAsia="Arial" w:hAnsi="Arial"/>
        </w:rPr>
        <w:t xml:space="preserve">Por que esta dimensão importa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008F7A" w:val="clear"/>
            <w:tcMar>
              <w:top w:type="dxa" w:w="80"/>
              <w:left w:type="dxa" w:w="60"/>
              <w:bottom w:type="dxa" w:w="80"/>
              <w:right w:type="dxa" w:w="40"/>
            </w:tcMar>
          </w:tcPr>
          <w:p>
            <w:pPr>
              <w:spacing w:after="100" w:before="0"/>
              <w:jc w:val="left"/>
            </w:pPr>
            <w:r>
              <w:rPr>
                <w:rFonts w:ascii="Arial" w:cs="Arial" w:eastAsia="Arial" w:hAnsi="Arial"/>
                <w:b w:val="false"/>
                <w:bCs w:val="false"/>
                <w:color w:val="0D1B2A"/>
                <w:sz w:val="20"/>
                <w:szCs w:val="20"/>
              </w:rPr>
              <w:t xml:space="preserve"> </w:t>
            </w:r>
          </w:p>
        </w:tc>
        <w:tc>
          <w:tcPr>
            <w:tcW w:type="dxa" w:w="9220"/>
            <w:tcBorders>
              <w:top w:val="none" w:color="FFFFFF" w:sz="0"/>
              <w:left w:val="none" w:color="FFFFFF" w:sz="0"/>
              <w:bottom w:val="none" w:color="FFFFFF" w:sz="0"/>
              <w:right w:val="none" w:color="FFFFFF" w:sz="0"/>
            </w:tcBorders>
            <w:shd w:fill="E0F5F1" w:val="clear"/>
            <w:tcMar>
              <w:top w:type="dxa" w:w="100"/>
              <w:left w:type="dxa" w:w="140"/>
              <w:bottom w:type="dxa" w:w="100"/>
              <w:right w:type="dxa" w:w="120"/>
            </w:tcMar>
          </w:tcPr>
          <w:p>
            <w:pPr>
              <w:spacing w:after="100" w:before="0"/>
              <w:jc w:val="left"/>
            </w:pPr>
            <w:r>
              <w:rPr>
                <w:rFonts w:ascii="Arial" w:cs="Arial" w:eastAsia="Arial" w:hAnsi="Arial"/>
                <w:b w:val="false"/>
                <w:bCs w:val="false"/>
                <w:color w:val="0D1B2A"/>
                <w:sz w:val="18"/>
                <w:szCs w:val="18"/>
              </w:rPr>
              <w:t xml:space="preserve">Sem industrialização, cada projeto de IA é uma startup interna do zero. Custos explodem, qualidade é inconsistente e o conhecimento fica fragmentado em equipes isoladas. A plataforma é o que transforma um conjunto de projetos em um programa sustentável.</w:t>
            </w:r>
          </w:p>
        </w:tc>
      </w:tr>
    </w:tbl>
    <w:p>
      <w:pPr>
        <w:spacing w:after="0" w:before="80"/>
      </w:pPr>
      <w:r>
        <w:rPr>
          <w:sz w:val="2"/>
          <w:szCs w:val="2"/>
        </w:rPr>
        <w:t xml:space="preserve"/>
      </w:r>
    </w:p>
    <w:p>
      <w:pPr>
        <w:pStyle w:val="Heading2"/>
        <w:spacing w:after="80" w:before="160"/>
      </w:pPr>
      <w:r>
        <w:rPr>
          <w:rFonts w:ascii="Arial" w:cs="Arial" w:eastAsia="Arial" w:hAnsi="Arial"/>
        </w:rPr>
        <w:t xml:space="preserve">O que queremos mostrar ao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5A623" w:val="clear"/>
            <w:tcMar>
              <w:top w:type="dxa" w:w="80"/>
              <w:left w:type="dxa" w:w="60"/>
              <w:bottom w:type="dxa" w:w="80"/>
              <w:right w:type="dxa" w:w="40"/>
            </w:tcMar>
          </w:tcPr>
          <w:p>
            <w:pPr>
              <w:spacing w:after="100" w:before="0"/>
              <w:jc w:val="center"/>
            </w:pPr>
            <w:r>
              <w:rPr>
                <w:rFonts w:ascii="Arial" w:cs="Arial" w:eastAsia="Arial" w:hAnsi="Arial"/>
                <w:b/>
                <w:bCs/>
                <w:color w:val="FFFFFF"/>
                <w:sz w:val="20"/>
                <w:szCs w:val="20"/>
              </w:rPr>
              <w:t xml:space="preserve">!</w:t>
            </w:r>
          </w:p>
        </w:tc>
        <w:tc>
          <w:tcPr>
            <w:tcW w:type="dxa" w:w="9160"/>
            <w:tcBorders>
              <w:top w:val="none" w:color="FFFFFF" w:sz="0"/>
              <w:left w:val="none" w:color="FFFFFF" w:sz="0"/>
              <w:bottom w:val="none" w:color="FFFFFF" w:sz="0"/>
              <w:right w:val="none" w:color="FFFFFF" w:sz="0"/>
            </w:tcBorders>
            <w:shd w:fill="FFF8EC" w:val="clear"/>
            <w:tcMar>
              <w:top w:type="dxa" w:w="90"/>
              <w:left w:type="dxa" w:w="140"/>
              <w:bottom w:type="dxa" w:w="90"/>
              <w:right w:type="dxa" w:w="120"/>
            </w:tcMar>
          </w:tcPr>
          <w:p>
            <w:pPr>
              <w:spacing w:after="100" w:before="0"/>
              <w:jc w:val="left"/>
            </w:pPr>
            <w:r>
              <w:rPr>
                <w:rFonts w:ascii="Arial" w:cs="Arial" w:eastAsia="Arial" w:hAnsi="Arial"/>
                <w:b w:val="false"/>
                <w:bCs w:val="false"/>
                <w:color w:val="0D1B2A"/>
                <w:sz w:val="18"/>
                <w:szCs w:val="18"/>
              </w:rPr>
              <w:t xml:space="preserve">Identificar se a empresa está construindo capacidade organizacional em IA ou apenas acumulando projetos isolados. Score baixo aqui com score alto em Operações (Dim 5) revela o padrão 'muitos projetos, nenhuma plataforma' — custoso, difícil de manter e impossível de auditar.</w:t>
            </w:r>
          </w:p>
        </w:tc>
      </w:tr>
    </w:tbl>
    <w:p>
      <w:pPr>
        <w:spacing w:after="0" w:before="80"/>
      </w:pPr>
      <w:r>
        <w:rPr>
          <w:sz w:val="2"/>
          <w:szCs w:val="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none" w:color="FFFFFF" w:sz="0"/>
              <w:left w:val="none" w:color="FFFFFF" w:sz="0"/>
              <w:bottom w:val="none" w:color="FFFFFF" w:sz="0"/>
              <w:right w:val="none" w:color="FFFFFF" w:sz="0"/>
            </w:tcBorders>
            <w:shd w:fill="1E8449" w:val="clear"/>
            <w:tcMar>
              <w:top w:type="dxa" w:w="120"/>
              <w:left w:type="dxa" w:w="100"/>
              <w:bottom w:type="dxa" w:w="120"/>
              <w:right w:type="dxa" w:w="80"/>
            </w:tcMar>
          </w:tcPr>
          <w:p>
            <w:pPr>
              <w:spacing w:after="100" w:before="0"/>
              <w:jc w:val="center"/>
            </w:pPr>
            <w:r>
              <w:rPr>
                <w:rFonts w:ascii="Arial" w:cs="Arial" w:eastAsia="Arial" w:hAnsi="Arial"/>
                <w:b/>
                <w:bCs/>
                <w:color w:val="FFFFFF"/>
                <w:sz w:val="28"/>
                <w:szCs w:val="28"/>
              </w:rPr>
              <w:t xml:space="preserve">D14</w:t>
            </w:r>
          </w:p>
        </w:tc>
        <w:tc>
          <w:tcPr>
            <w:tcW w:type="dxa" w:w="7560"/>
            <w:tcBorders>
              <w:top w:val="none" w:color="FFFFFF" w:sz="0"/>
              <w:left w:val="none" w:color="FFFFFF" w:sz="0"/>
              <w:bottom w:val="none" w:color="FFFFFF" w:sz="0"/>
              <w:right w:val="none" w:color="FFFFFF" w:sz="0"/>
            </w:tcBorders>
            <w:shd w:fill="0D1B2A" w:val="clear"/>
            <w:tcMar>
              <w:top w:type="dxa" w:w="100"/>
              <w:left w:type="dxa" w:w="140"/>
              <w:bottom w:type="dxa" w:w="100"/>
              <w:right w:type="dxa" w:w="100"/>
            </w:tcMar>
          </w:tcPr>
          <w:p>
            <w:pPr>
              <w:spacing w:after="100" w:before="0"/>
              <w:jc w:val="left"/>
            </w:pPr>
            <w:r>
              <w:rPr>
                <w:rFonts w:ascii="Arial" w:cs="Arial" w:eastAsia="Arial" w:hAnsi="Arial"/>
                <w:b/>
                <w:bCs/>
                <w:color w:val="FFFFFF"/>
                <w:sz w:val="26"/>
                <w:szCs w:val="26"/>
              </w:rPr>
              <w:t xml:space="preserve">IA como Gerador de Receita</w:t>
            </w:r>
          </w:p>
        </w:tc>
        <w:tc>
          <w:tcPr>
            <w:tcW w:type="dxa" w:w="1000"/>
            <w:tcBorders>
              <w:top w:val="none" w:color="FFFFFF" w:sz="0"/>
              <w:left w:val="none" w:color="FFFFFF" w:sz="0"/>
              <w:bottom w:val="none" w:color="FFFFFF" w:sz="0"/>
              <w:right w:val="none" w:color="FFFFFF" w:sz="0"/>
            </w:tcBorders>
            <w:shd w:fill="008F7A" w:val="clear"/>
            <w:tcMar>
              <w:top w:type="dxa" w:w="100"/>
              <w:left w:type="dxa" w:w="80"/>
              <w:bottom w:type="dxa" w:w="100"/>
              <w:right w:type="dxa" w:w="80"/>
            </w:tcMar>
          </w:tcPr>
          <w:p>
            <w:pPr>
              <w:spacing w:after="100" w:before="0"/>
              <w:jc w:val="center"/>
            </w:pPr>
            <w:r>
              <w:rPr>
                <w:rFonts w:ascii="Arial" w:cs="Arial" w:eastAsia="Arial" w:hAnsi="Arial"/>
                <w:b w:val="false"/>
                <w:bCs w:val="false"/>
                <w:color w:val="E0F5F1"/>
                <w:sz w:val="13"/>
                <w:szCs w:val="13"/>
              </w:rPr>
              <w:t xml:space="preserve">Peso</w:t>
            </w:r>
            <w:r>
              <w:rPr>
                <w:rFonts w:ascii="Arial" w:cs="Arial" w:eastAsia="Arial" w:hAnsi="Arial"/>
                <w:b/>
                <w:bCs/>
                <w:color w:val="FFFFFF"/>
                <w:sz w:val="22"/>
                <w:szCs w:val="22"/>
              </w:rPr>
              <w:t xml:space="preserve"> 7%</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D1B2A" w:val="clear"/>
            <w:tcMar>
              <w:top w:type="dxa" w:w="70"/>
              <w:left w:type="dxa" w:w="100"/>
              <w:bottom w:type="dxa" w:w="70"/>
              <w:right w:type="dxa" w:w="80"/>
            </w:tcMar>
          </w:tcPr>
          <w:p>
            <w:pPr>
              <w:spacing w:after="100" w:before="0"/>
              <w:jc w:val="center"/>
            </w:pPr>
            <w:r>
              <w:rPr>
                <w:rFonts w:ascii="Arial" w:cs="Arial" w:eastAsia="Arial" w:hAnsi="Arial"/>
                <w:b/>
                <w:bCs/>
                <w:color w:val="FFFFFF"/>
                <w:sz w:val="17"/>
                <w:szCs w:val="17"/>
              </w:rPr>
              <w:t xml:space="preserve">MIT CISR</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8F7A" w:val="clear"/>
            <w:tcMar>
              <w:top w:type="dxa" w:w="70"/>
              <w:left w:type="dxa" w:w="80"/>
              <w:bottom w:type="dxa" w:w="70"/>
              <w:right w:type="dxa" w:w="60"/>
            </w:tcMar>
          </w:tcPr>
          <w:p>
            <w:pPr>
              <w:spacing w:after="100" w:before="0"/>
              <w:jc w:val="center"/>
            </w:pPr>
            <w:r>
              <w:rPr>
                <w:rFonts w:ascii="Arial" w:cs="Arial" w:eastAsia="Arial" w:hAnsi="Arial"/>
                <w:b/>
                <w:bCs/>
                <w:color w:val="FFFFFF"/>
                <w:sz w:val="14"/>
                <w:szCs w:val="14"/>
              </w:rPr>
              <w:t xml:space="preserve">MIT</w:t>
            </w:r>
          </w:p>
        </w:tc>
        <w:tc>
          <w:tcPr>
            <w:tcW w:type="dxa" w:w="8960"/>
            <w:tcBorders>
              <w:top w:val="none" w:color="FFFFFF" w:sz="0"/>
              <w:left w:val="none" w:color="FFFFFF" w:sz="0"/>
              <w:bottom w:val="none" w:color="FFFFFF" w:sz="0"/>
              <w:right w:val="none" w:color="FFFFFF" w:sz="0"/>
            </w:tcBorders>
            <w:shd w:fill="E0F5F1" w:val="clear"/>
            <w:tcMar>
              <w:top w:type="dxa" w:w="70"/>
              <w:left w:type="dxa" w:w="120"/>
              <w:bottom w:type="dxa" w:w="70"/>
              <w:right w:type="dxa" w:w="100"/>
            </w:tcMar>
          </w:tcPr>
          <w:p>
            <w:pPr>
              <w:spacing w:after="100" w:before="0"/>
              <w:jc w:val="left"/>
            </w:pPr>
            <w:r>
              <w:rPr>
                <w:rFonts w:ascii="Arial" w:cs="Arial" w:eastAsia="Arial" w:hAnsi="Arial"/>
                <w:b/>
                <w:bCs/>
                <w:color w:val="008F7A"/>
                <w:sz w:val="17"/>
                <w:szCs w:val="17"/>
              </w:rPr>
              <w:t xml:space="preserve">Exclusivo do Estágio 4 e 5. O MIT CISR define que a passagem para o nível Gerenciado inclui a capacidade de criar novas linhas de receita com IA — não apenas eficiência. No Estágio 5, IA é 'core do negócio', o que pressupõe monetização direta.</w:t>
            </w:r>
          </w:p>
        </w:tc>
      </w:tr>
    </w:tbl>
    <w:p>
      <w:pPr>
        <w:spacing w:after="0" w:before="80"/>
      </w:pPr>
      <w:r>
        <w:rPr>
          <w:sz w:val="2"/>
          <w:szCs w:val="2"/>
        </w:rPr>
        <w:t xml:space="preserve"/>
      </w:r>
    </w:p>
    <w:p>
      <w:pPr>
        <w:pStyle w:val="Heading2"/>
        <w:spacing w:after="80" w:before="160"/>
      </w:pPr>
      <w:r>
        <w:rPr>
          <w:rFonts w:ascii="Arial" w:cs="Arial" w:eastAsia="Arial" w:hAnsi="Arial"/>
        </w:rPr>
        <w:t xml:space="preserve">De onde veio esta dimensão</w:t>
      </w:r>
    </w:p>
    <w:p>
      <w:pPr>
        <w:spacing w:after="120" w:before="0"/>
        <w:jc w:val="left"/>
      </w:pPr>
      <w:r>
        <w:rPr>
          <w:rFonts w:ascii="Arial" w:cs="Arial" w:eastAsia="Arial" w:hAnsi="Arial"/>
          <w:b w:val="false"/>
          <w:bCs w:val="false"/>
          <w:color w:val="0D1B2A"/>
          <w:sz w:val="20"/>
          <w:szCs w:val="20"/>
        </w:rPr>
        <w:t xml:space="preserve">Extensão do modelo MIT CISR baseada em pesquisa de 2023–2024 sobre empresas que evoluíram IA de centro de custo para gerador de receita. A McKinsey (2023) documentou que empresas nos estágios mais altos de maturidade geram entre 15% e 40% de sua receita de produtos e serviços habilitados por IA. Esta dimensão avalia a capacidade da organização de monetizar IA diretamente: como produto (AIaaS), como diferencial de produto existente, ou como criador de novos modelos de negócio. É o que separa empresas que usam IA de empresas que vendem IA.</w:t>
      </w:r>
    </w:p>
    <w:p>
      <w:pPr>
        <w:pStyle w:val="Heading2"/>
        <w:spacing w:after="80" w:before="160"/>
      </w:pPr>
      <w:r>
        <w:rPr>
          <w:rFonts w:ascii="Arial" w:cs="Arial" w:eastAsia="Arial" w:hAnsi="Arial"/>
        </w:rPr>
        <w:t xml:space="preserve">Critérios avaliados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Produtos ou serviços de IA comercializados externamente (AIaaS, APIs, produtos IA-First)</w:t>
            </w:r>
          </w:p>
          <w:p>
            <w:pPr>
              <w:pStyle w:val="ListParagraph"/>
              <w:numPr>
                <w:ilvl w:val="0"/>
                <w:numId w:val="2"/>
              </w:numPr>
              <w:spacing w:after="30" w:before="30"/>
            </w:pPr>
            <w:r>
              <w:rPr>
                <w:rFonts w:ascii="Arial" w:cs="Arial" w:eastAsia="Arial" w:hAnsi="Arial"/>
                <w:b w:val="false"/>
                <w:bCs w:val="false"/>
                <w:color w:val="0D1B2A"/>
                <w:sz w:val="18"/>
                <w:szCs w:val="18"/>
              </w:rPr>
              <w:t xml:space="preserve">IA como diferencial competitivo explícito em produtos core existentes</w:t>
            </w:r>
          </w:p>
          <w:p>
            <w:pPr>
              <w:pStyle w:val="ListParagraph"/>
              <w:numPr>
                <w:ilvl w:val="0"/>
                <w:numId w:val="2"/>
              </w:numPr>
              <w:spacing w:after="30" w:before="30"/>
            </w:pPr>
            <w:r>
              <w:rPr>
                <w:rFonts w:ascii="Arial" w:cs="Arial" w:eastAsia="Arial" w:hAnsi="Arial"/>
                <w:b w:val="false"/>
                <w:bCs w:val="false"/>
                <w:color w:val="0D1B2A"/>
                <w:sz w:val="18"/>
                <w:szCs w:val="18"/>
              </w:rPr>
              <w:t xml:space="preserve">Novas linhas de receita criadas por IA nos últimos 24 meses</w:t>
            </w:r>
          </w:p>
        </w:tc>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Roadmap de monetização de IA aprovado com metas financeiras</w:t>
            </w:r>
          </w:p>
          <w:p>
            <w:pPr>
              <w:pStyle w:val="ListParagraph"/>
              <w:numPr>
                <w:ilvl w:val="0"/>
                <w:numId w:val="2"/>
              </w:numPr>
              <w:spacing w:after="30" w:before="30"/>
            </w:pPr>
            <w:r>
              <w:rPr>
                <w:rFonts w:ascii="Arial" w:cs="Arial" w:eastAsia="Arial" w:hAnsi="Arial"/>
                <w:b w:val="false"/>
                <w:bCs w:val="false"/>
                <w:color w:val="0D1B2A"/>
                <w:sz w:val="18"/>
                <w:szCs w:val="18"/>
              </w:rPr>
              <w:t xml:space="preserve">Capacidade de empacotar e vender soluções de IA para clientes e parceiros</w:t>
            </w:r>
          </w:p>
          <w:p>
            <w:pPr>
              <w:pStyle w:val="ListParagraph"/>
              <w:numPr>
                <w:ilvl w:val="0"/>
                <w:numId w:val="2"/>
              </w:numPr>
              <w:spacing w:after="30" w:before="30"/>
            </w:pPr>
            <w:r>
              <w:rPr>
                <w:rFonts w:ascii="Arial" w:cs="Arial" w:eastAsia="Arial" w:hAnsi="Arial"/>
                <w:b w:val="false"/>
                <w:bCs w:val="false"/>
                <w:color w:val="0D1B2A"/>
                <w:sz w:val="18"/>
                <w:szCs w:val="18"/>
              </w:rPr>
              <w:t xml:space="preserve">Modelos de precificação para capacidades de IA (por token, por uso, por resultado)</w:t>
            </w:r>
          </w:p>
        </w:tc>
      </w:tr>
    </w:tbl>
    <w:p>
      <w:pPr>
        <w:spacing w:after="0" w:before="80"/>
      </w:pPr>
      <w:r>
        <w:rPr>
          <w:sz w:val="2"/>
          <w:szCs w:val="2"/>
        </w:rPr>
        <w:t xml:space="preserve"/>
      </w:r>
    </w:p>
    <w:p>
      <w:pPr>
        <w:pStyle w:val="Heading2"/>
        <w:spacing w:after="80" w:before="160"/>
      </w:pPr>
      <w:r>
        <w:rPr>
          <w:rFonts w:ascii="Arial" w:cs="Arial" w:eastAsia="Arial" w:hAnsi="Arial"/>
        </w:rPr>
        <w:t xml:space="preserve">Por que esta dimensão importa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008F7A" w:val="clear"/>
            <w:tcMar>
              <w:top w:type="dxa" w:w="80"/>
              <w:left w:type="dxa" w:w="60"/>
              <w:bottom w:type="dxa" w:w="80"/>
              <w:right w:type="dxa" w:w="40"/>
            </w:tcMar>
          </w:tcPr>
          <w:p>
            <w:pPr>
              <w:spacing w:after="100" w:before="0"/>
              <w:jc w:val="left"/>
            </w:pPr>
            <w:r>
              <w:rPr>
                <w:rFonts w:ascii="Arial" w:cs="Arial" w:eastAsia="Arial" w:hAnsi="Arial"/>
                <w:b w:val="false"/>
                <w:bCs w:val="false"/>
                <w:color w:val="0D1B2A"/>
                <w:sz w:val="20"/>
                <w:szCs w:val="20"/>
              </w:rPr>
              <w:t xml:space="preserve"> </w:t>
            </w:r>
          </w:p>
        </w:tc>
        <w:tc>
          <w:tcPr>
            <w:tcW w:type="dxa" w:w="9220"/>
            <w:tcBorders>
              <w:top w:val="none" w:color="FFFFFF" w:sz="0"/>
              <w:left w:val="none" w:color="FFFFFF" w:sz="0"/>
              <w:bottom w:val="none" w:color="FFFFFF" w:sz="0"/>
              <w:right w:val="none" w:color="FFFFFF" w:sz="0"/>
            </w:tcBorders>
            <w:shd w:fill="E0F5F1" w:val="clear"/>
            <w:tcMar>
              <w:top w:type="dxa" w:w="100"/>
              <w:left w:type="dxa" w:w="140"/>
              <w:bottom w:type="dxa" w:w="100"/>
              <w:right w:type="dxa" w:w="120"/>
            </w:tcMar>
          </w:tcPr>
          <w:p>
            <w:pPr>
              <w:spacing w:after="100" w:before="0"/>
              <w:jc w:val="left"/>
            </w:pPr>
            <w:r>
              <w:rPr>
                <w:rFonts w:ascii="Arial" w:cs="Arial" w:eastAsia="Arial" w:hAnsi="Arial"/>
                <w:b w:val="false"/>
                <w:bCs w:val="false"/>
                <w:color w:val="0D1B2A"/>
                <w:sz w:val="18"/>
                <w:szCs w:val="18"/>
              </w:rPr>
              <w:t xml:space="preserve">Empresas que usam IA apenas para eficiência interna perdem a maior oportunidade: transformar capacidades de IA em produtos que o mercado paga. Isso muda fundamentalmente a equação de ROI — de custo reduzido para receita criada.</w:t>
            </w:r>
          </w:p>
        </w:tc>
      </w:tr>
    </w:tbl>
    <w:p>
      <w:pPr>
        <w:spacing w:after="0" w:before="80"/>
      </w:pPr>
      <w:r>
        <w:rPr>
          <w:sz w:val="2"/>
          <w:szCs w:val="2"/>
        </w:rPr>
        <w:t xml:space="preserve"/>
      </w:r>
    </w:p>
    <w:p>
      <w:pPr>
        <w:pStyle w:val="Heading2"/>
        <w:spacing w:after="80" w:before="160"/>
      </w:pPr>
      <w:r>
        <w:rPr>
          <w:rFonts w:ascii="Arial" w:cs="Arial" w:eastAsia="Arial" w:hAnsi="Arial"/>
        </w:rPr>
        <w:t xml:space="preserve">O que queremos mostrar ao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5A623" w:val="clear"/>
            <w:tcMar>
              <w:top w:type="dxa" w:w="80"/>
              <w:left w:type="dxa" w:w="60"/>
              <w:bottom w:type="dxa" w:w="80"/>
              <w:right w:type="dxa" w:w="40"/>
            </w:tcMar>
          </w:tcPr>
          <w:p>
            <w:pPr>
              <w:spacing w:after="100" w:before="0"/>
              <w:jc w:val="center"/>
            </w:pPr>
            <w:r>
              <w:rPr>
                <w:rFonts w:ascii="Arial" w:cs="Arial" w:eastAsia="Arial" w:hAnsi="Arial"/>
                <w:b/>
                <w:bCs/>
                <w:color w:val="FFFFFF"/>
                <w:sz w:val="20"/>
                <w:szCs w:val="20"/>
              </w:rPr>
              <w:t xml:space="preserve">!</w:t>
            </w:r>
          </w:p>
        </w:tc>
        <w:tc>
          <w:tcPr>
            <w:tcW w:type="dxa" w:w="9160"/>
            <w:tcBorders>
              <w:top w:val="none" w:color="FFFFFF" w:sz="0"/>
              <w:left w:val="none" w:color="FFFFFF" w:sz="0"/>
              <w:bottom w:val="none" w:color="FFFFFF" w:sz="0"/>
              <w:right w:val="none" w:color="FFFFFF" w:sz="0"/>
            </w:tcBorders>
            <w:shd w:fill="FFF8EC" w:val="clear"/>
            <w:tcMar>
              <w:top w:type="dxa" w:w="90"/>
              <w:left w:type="dxa" w:w="140"/>
              <w:bottom w:type="dxa" w:w="90"/>
              <w:right w:type="dxa" w:w="120"/>
            </w:tcMar>
          </w:tcPr>
          <w:p>
            <w:pPr>
              <w:spacing w:after="100" w:before="0"/>
              <w:jc w:val="left"/>
            </w:pPr>
            <w:r>
              <w:rPr>
                <w:rFonts w:ascii="Arial" w:cs="Arial" w:eastAsia="Arial" w:hAnsi="Arial"/>
                <w:b w:val="false"/>
                <w:bCs w:val="false"/>
                <w:color w:val="0D1B2A"/>
                <w:sz w:val="18"/>
                <w:szCs w:val="18"/>
              </w:rPr>
              <w:t xml:space="preserve">Distinguir empresas que consomem IA de empresas que criam valor com IA para o mercado. Score baixo não é um problema em estágios iniciais, mas é crítico para empresas que se definem como líderes tecnológicos — especialmente no contexto de concorrentes que já vendem IA como produto.</w:t>
            </w:r>
          </w:p>
        </w:tc>
      </w:tr>
    </w:tbl>
    <w:p>
      <w:pPr>
        <w:spacing w:after="0" w:before="80"/>
      </w:pPr>
      <w:r>
        <w:rPr>
          <w:sz w:val="2"/>
          <w:szCs w:val="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none" w:color="FFFFFF" w:sz="0"/>
              <w:left w:val="none" w:color="FFFFFF" w:sz="0"/>
              <w:bottom w:val="none" w:color="FFFFFF" w:sz="0"/>
              <w:right w:val="none" w:color="FFFFFF" w:sz="0"/>
            </w:tcBorders>
            <w:shd w:fill="008F7A" w:val="clear"/>
            <w:tcMar>
              <w:top w:type="dxa" w:w="120"/>
              <w:left w:type="dxa" w:w="100"/>
              <w:bottom w:type="dxa" w:w="120"/>
              <w:right w:type="dxa" w:w="80"/>
            </w:tcMar>
          </w:tcPr>
          <w:p>
            <w:pPr>
              <w:spacing w:after="100" w:before="0"/>
              <w:jc w:val="center"/>
            </w:pPr>
            <w:r>
              <w:rPr>
                <w:rFonts w:ascii="Arial" w:cs="Arial" w:eastAsia="Arial" w:hAnsi="Arial"/>
                <w:b/>
                <w:bCs/>
                <w:color w:val="FFFFFF"/>
                <w:sz w:val="28"/>
                <w:szCs w:val="28"/>
              </w:rPr>
              <w:t xml:space="preserve">D15</w:t>
            </w:r>
          </w:p>
        </w:tc>
        <w:tc>
          <w:tcPr>
            <w:tcW w:type="dxa" w:w="7560"/>
            <w:tcBorders>
              <w:top w:val="none" w:color="FFFFFF" w:sz="0"/>
              <w:left w:val="none" w:color="FFFFFF" w:sz="0"/>
              <w:bottom w:val="none" w:color="FFFFFF" w:sz="0"/>
              <w:right w:val="none" w:color="FFFFFF" w:sz="0"/>
            </w:tcBorders>
            <w:shd w:fill="0D1B2A" w:val="clear"/>
            <w:tcMar>
              <w:top w:type="dxa" w:w="100"/>
              <w:left w:type="dxa" w:w="140"/>
              <w:bottom w:type="dxa" w:w="100"/>
              <w:right w:type="dxa" w:w="100"/>
            </w:tcMar>
          </w:tcPr>
          <w:p>
            <w:pPr>
              <w:spacing w:after="100" w:before="0"/>
              <w:jc w:val="left"/>
            </w:pPr>
            <w:r>
              <w:rPr>
                <w:rFonts w:ascii="Arial" w:cs="Arial" w:eastAsia="Arial" w:hAnsi="Arial"/>
                <w:b/>
                <w:bCs/>
                <w:color w:val="FFFFFF"/>
                <w:sz w:val="26"/>
                <w:szCs w:val="26"/>
              </w:rPr>
              <w:t xml:space="preserve">Maturidade por Tipo de IA</w:t>
            </w:r>
          </w:p>
        </w:tc>
        <w:tc>
          <w:tcPr>
            <w:tcW w:type="dxa" w:w="1000"/>
            <w:tcBorders>
              <w:top w:val="none" w:color="FFFFFF" w:sz="0"/>
              <w:left w:val="none" w:color="FFFFFF" w:sz="0"/>
              <w:bottom w:val="none" w:color="FFFFFF" w:sz="0"/>
              <w:right w:val="none" w:color="FFFFFF" w:sz="0"/>
            </w:tcBorders>
            <w:shd w:fill="008F7A" w:val="clear"/>
            <w:tcMar>
              <w:top w:type="dxa" w:w="100"/>
              <w:left w:type="dxa" w:w="80"/>
              <w:bottom w:type="dxa" w:w="100"/>
              <w:right w:type="dxa" w:w="80"/>
            </w:tcMar>
          </w:tcPr>
          <w:p>
            <w:pPr>
              <w:spacing w:after="100" w:before="0"/>
              <w:jc w:val="center"/>
            </w:pPr>
            <w:r>
              <w:rPr>
                <w:rFonts w:ascii="Arial" w:cs="Arial" w:eastAsia="Arial" w:hAnsi="Arial"/>
                <w:b w:val="false"/>
                <w:bCs w:val="false"/>
                <w:color w:val="E0F5F1"/>
                <w:sz w:val="13"/>
                <w:szCs w:val="13"/>
              </w:rPr>
              <w:t xml:space="preserve">Peso</w:t>
            </w:r>
            <w:r>
              <w:rPr>
                <w:rFonts w:ascii="Arial" w:cs="Arial" w:eastAsia="Arial" w:hAnsi="Arial"/>
                <w:b/>
                <w:bCs/>
                <w:color w:val="FFFFFF"/>
                <w:sz w:val="22"/>
                <w:szCs w:val="22"/>
              </w:rPr>
              <w:t xml:space="preserve"> 8%</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D1B2A" w:val="clear"/>
            <w:tcMar>
              <w:top w:type="dxa" w:w="70"/>
              <w:left w:type="dxa" w:w="100"/>
              <w:bottom w:type="dxa" w:w="70"/>
              <w:right w:type="dxa" w:w="80"/>
            </w:tcMar>
          </w:tcPr>
          <w:p>
            <w:pPr>
              <w:spacing w:after="100" w:before="0"/>
              <w:jc w:val="center"/>
            </w:pPr>
            <w:r>
              <w:rPr>
                <w:rFonts w:ascii="Arial" w:cs="Arial" w:eastAsia="Arial" w:hAnsi="Arial"/>
                <w:b/>
                <w:bCs/>
                <w:color w:val="FFFFFF"/>
                <w:sz w:val="17"/>
                <w:szCs w:val="17"/>
              </w:rPr>
              <w:t xml:space="preserve">MIT CISR</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8F7A" w:val="clear"/>
            <w:tcMar>
              <w:top w:type="dxa" w:w="70"/>
              <w:left w:type="dxa" w:w="80"/>
              <w:bottom w:type="dxa" w:w="70"/>
              <w:right w:type="dxa" w:w="60"/>
            </w:tcMar>
          </w:tcPr>
          <w:p>
            <w:pPr>
              <w:spacing w:after="100" w:before="0"/>
              <w:jc w:val="center"/>
            </w:pPr>
            <w:r>
              <w:rPr>
                <w:rFonts w:ascii="Arial" w:cs="Arial" w:eastAsia="Arial" w:hAnsi="Arial"/>
                <w:b/>
                <w:bCs/>
                <w:color w:val="FFFFFF"/>
                <w:sz w:val="14"/>
                <w:szCs w:val="14"/>
              </w:rPr>
              <w:t xml:space="preserve">MIT</w:t>
            </w:r>
          </w:p>
        </w:tc>
        <w:tc>
          <w:tcPr>
            <w:tcW w:type="dxa" w:w="8960"/>
            <w:tcBorders>
              <w:top w:val="none" w:color="FFFFFF" w:sz="0"/>
              <w:left w:val="none" w:color="FFFFFF" w:sz="0"/>
              <w:bottom w:val="none" w:color="FFFFFF" w:sz="0"/>
              <w:right w:val="none" w:color="FFFFFF" w:sz="0"/>
            </w:tcBorders>
            <w:shd w:fill="E0F5F1" w:val="clear"/>
            <w:tcMar>
              <w:top w:type="dxa" w:w="70"/>
              <w:left w:type="dxa" w:w="120"/>
              <w:bottom w:type="dxa" w:w="70"/>
              <w:right w:type="dxa" w:w="100"/>
            </w:tcMar>
          </w:tcPr>
          <w:p>
            <w:pPr>
              <w:spacing w:after="100" w:before="0"/>
              <w:jc w:val="left"/>
            </w:pPr>
            <w:r>
              <w:rPr>
                <w:rFonts w:ascii="Arial" w:cs="Arial" w:eastAsia="Arial" w:hAnsi="Arial"/>
                <w:b/>
                <w:bCs/>
                <w:color w:val="008F7A"/>
                <w:sz w:val="17"/>
                <w:szCs w:val="17"/>
              </w:rPr>
              <w:t xml:space="preserve">Inovação do MIT CISR 2024. A pesquisa mais recente de Weill, Woerner &amp; Sebastian distingue explicitamente a maturidade de uma organização por tipo de IA utilizado — analítica, generativa, agêntica e robótica — como critério de posicionamento competitivo.</w:t>
            </w:r>
          </w:p>
        </w:tc>
      </w:tr>
    </w:tbl>
    <w:p>
      <w:pPr>
        <w:spacing w:after="0" w:before="80"/>
      </w:pPr>
      <w:r>
        <w:rPr>
          <w:sz w:val="2"/>
          <w:szCs w:val="2"/>
        </w:rPr>
        <w:t xml:space="preserve"/>
      </w:r>
    </w:p>
    <w:p>
      <w:pPr>
        <w:pStyle w:val="Heading2"/>
        <w:spacing w:after="80" w:before="160"/>
      </w:pPr>
      <w:r>
        <w:rPr>
          <w:rFonts w:ascii="Arial" w:cs="Arial" w:eastAsia="Arial" w:hAnsi="Arial"/>
        </w:rPr>
        <w:t xml:space="preserve">De onde veio esta dimensão</w:t>
      </w:r>
    </w:p>
    <w:p>
      <w:pPr>
        <w:spacing w:after="120" w:before="0"/>
        <w:jc w:val="left"/>
      </w:pPr>
      <w:r>
        <w:rPr>
          <w:rFonts w:ascii="Arial" w:cs="Arial" w:eastAsia="Arial" w:hAnsi="Arial"/>
          <w:b w:val="false"/>
          <w:bCs w:val="false"/>
          <w:color w:val="0D1B2A"/>
          <w:sz w:val="20"/>
          <w:szCs w:val="20"/>
        </w:rPr>
        <w:t xml:space="preserve">Esta dimensão representa a inovação mais recente do modelo MIT CISR, presente nos relatórios de 2024. O CISR identificou que organizações maduras não apenas usam IA — elas usam os tipos certos de IA para os problemas certos, com diferentes graus de sofisticação. Os quatro tipos formam uma progressão: IA Analítica (predição, classificação — anos 2010s), IA Generativa (criação de conteúdo, linguagem — 2022+), IA Agêntica (ação autônoma, orquestração — 2024+) e IA Robótica (automação física com percepção inteligente — emergente). Organizações no topo do ranking MIT CISR têm portfólios integrados dos quatro tipos.</w:t>
      </w:r>
    </w:p>
    <w:p>
      <w:pPr>
        <w:pStyle w:val="Heading2"/>
        <w:spacing w:after="80" w:before="160"/>
      </w:pPr>
      <w:r>
        <w:rPr>
          <w:rFonts w:ascii="Arial" w:cs="Arial" w:eastAsia="Arial" w:hAnsi="Arial"/>
        </w:rPr>
        <w:t xml:space="preserve">Critérios avaliados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IA Analítica: modelos preditivos e classificatórios em produção em múltiplas áreas</w:t>
            </w:r>
          </w:p>
          <w:p>
            <w:pPr>
              <w:pStyle w:val="ListParagraph"/>
              <w:numPr>
                <w:ilvl w:val="0"/>
                <w:numId w:val="2"/>
              </w:numPr>
              <w:spacing w:after="30" w:before="30"/>
            </w:pPr>
            <w:r>
              <w:rPr>
                <w:rFonts w:ascii="Arial" w:cs="Arial" w:eastAsia="Arial" w:hAnsi="Arial"/>
                <w:b w:val="false"/>
                <w:bCs w:val="false"/>
                <w:color w:val="0D1B2A"/>
                <w:sz w:val="18"/>
                <w:szCs w:val="18"/>
              </w:rPr>
              <w:t xml:space="preserve">IA Generativa: LLMs e modelos de geração integrados a produtos e processos internos</w:t>
            </w:r>
          </w:p>
          <w:p>
            <w:pPr>
              <w:pStyle w:val="ListParagraph"/>
              <w:numPr>
                <w:ilvl w:val="0"/>
                <w:numId w:val="2"/>
              </w:numPr>
              <w:spacing w:after="30" w:before="30"/>
            </w:pPr>
            <w:r>
              <w:rPr>
                <w:rFonts w:ascii="Arial" w:cs="Arial" w:eastAsia="Arial" w:hAnsi="Arial"/>
                <w:b w:val="false"/>
                <w:bCs w:val="false"/>
                <w:color w:val="0D1B2A"/>
                <w:sz w:val="18"/>
                <w:szCs w:val="18"/>
              </w:rPr>
              <w:t xml:space="preserve">IA Agêntica: agentes autônomos operando tarefas complexas sem supervisão contínua</w:t>
            </w:r>
          </w:p>
        </w:tc>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IA Robótica: integração de percepção e ação em processos físicos ou digitais</w:t>
            </w:r>
          </w:p>
          <w:p>
            <w:pPr>
              <w:pStyle w:val="ListParagraph"/>
              <w:numPr>
                <w:ilvl w:val="0"/>
                <w:numId w:val="2"/>
              </w:numPr>
              <w:spacing w:after="30" w:before="30"/>
            </w:pPr>
            <w:r>
              <w:rPr>
                <w:rFonts w:ascii="Arial" w:cs="Arial" w:eastAsia="Arial" w:hAnsi="Arial"/>
                <w:b w:val="false"/>
                <w:bCs w:val="false"/>
                <w:color w:val="0D1B2A"/>
                <w:sz w:val="18"/>
                <w:szCs w:val="18"/>
              </w:rPr>
              <w:t xml:space="preserve">Portfólio integrado: diferentes tipos de IA orquestrados em workflows end-to-end</w:t>
            </w:r>
          </w:p>
          <w:p>
            <w:pPr>
              <w:pStyle w:val="ListParagraph"/>
              <w:numPr>
                <w:ilvl w:val="0"/>
                <w:numId w:val="2"/>
              </w:numPr>
              <w:spacing w:after="30" w:before="30"/>
            </w:pPr>
            <w:r>
              <w:rPr>
                <w:rFonts w:ascii="Arial" w:cs="Arial" w:eastAsia="Arial" w:hAnsi="Arial"/>
                <w:b w:val="false"/>
                <w:bCs w:val="false"/>
                <w:color w:val="0D1B2A"/>
                <w:sz w:val="18"/>
                <w:szCs w:val="18"/>
              </w:rPr>
              <w:t xml:space="preserve">Roadmap de evolução por tipo: plano para avançar em cada categoria de IA</w:t>
            </w:r>
          </w:p>
        </w:tc>
      </w:tr>
    </w:tbl>
    <w:p>
      <w:pPr>
        <w:spacing w:after="0" w:before="80"/>
      </w:pPr>
      <w:r>
        <w:rPr>
          <w:sz w:val="2"/>
          <w:szCs w:val="2"/>
        </w:rPr>
        <w:t xml:space="preserve"/>
      </w:r>
    </w:p>
    <w:p>
      <w:pPr>
        <w:pStyle w:val="Heading2"/>
        <w:spacing w:after="80" w:before="160"/>
      </w:pPr>
      <w:r>
        <w:rPr>
          <w:rFonts w:ascii="Arial" w:cs="Arial" w:eastAsia="Arial" w:hAnsi="Arial"/>
        </w:rPr>
        <w:t xml:space="preserve">Por que esta dimensão importa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008F7A" w:val="clear"/>
            <w:tcMar>
              <w:top w:type="dxa" w:w="80"/>
              <w:left w:type="dxa" w:w="60"/>
              <w:bottom w:type="dxa" w:w="80"/>
              <w:right w:type="dxa" w:w="40"/>
            </w:tcMar>
          </w:tcPr>
          <w:p>
            <w:pPr>
              <w:spacing w:after="100" w:before="0"/>
              <w:jc w:val="left"/>
            </w:pPr>
            <w:r>
              <w:rPr>
                <w:rFonts w:ascii="Arial" w:cs="Arial" w:eastAsia="Arial" w:hAnsi="Arial"/>
                <w:b w:val="false"/>
                <w:bCs w:val="false"/>
                <w:color w:val="0D1B2A"/>
                <w:sz w:val="20"/>
                <w:szCs w:val="20"/>
              </w:rPr>
              <w:t xml:space="preserve"> </w:t>
            </w:r>
          </w:p>
        </w:tc>
        <w:tc>
          <w:tcPr>
            <w:tcW w:type="dxa" w:w="9220"/>
            <w:tcBorders>
              <w:top w:val="none" w:color="FFFFFF" w:sz="0"/>
              <w:left w:val="none" w:color="FFFFFF" w:sz="0"/>
              <w:bottom w:val="none" w:color="FFFFFF" w:sz="0"/>
              <w:right w:val="none" w:color="FFFFFF" w:sz="0"/>
            </w:tcBorders>
            <w:shd w:fill="E0F5F1" w:val="clear"/>
            <w:tcMar>
              <w:top w:type="dxa" w:w="100"/>
              <w:left w:type="dxa" w:w="140"/>
              <w:bottom w:type="dxa" w:w="100"/>
              <w:right w:type="dxa" w:w="120"/>
            </w:tcMar>
          </w:tcPr>
          <w:p>
            <w:pPr>
              <w:spacing w:after="100" w:before="0"/>
              <w:jc w:val="left"/>
            </w:pPr>
            <w:r>
              <w:rPr>
                <w:rFonts w:ascii="Arial" w:cs="Arial" w:eastAsia="Arial" w:hAnsi="Arial"/>
                <w:b w:val="false"/>
                <w:bCs w:val="false"/>
                <w:color w:val="0D1B2A"/>
                <w:sz w:val="18"/>
                <w:szCs w:val="18"/>
              </w:rPr>
              <w:t xml:space="preserve">Cada tipo de IA tem perfis de valor, risco e complexidade distintos. Organizações que ficam apenas em IA Analítica deixam na mesa os ganhos de produtividade da IA Generativa e a automação transformadora da IA Agêntica.</w:t>
            </w:r>
          </w:p>
        </w:tc>
      </w:tr>
    </w:tbl>
    <w:p>
      <w:pPr>
        <w:spacing w:after="0" w:before="80"/>
      </w:pPr>
      <w:r>
        <w:rPr>
          <w:sz w:val="2"/>
          <w:szCs w:val="2"/>
        </w:rPr>
        <w:t xml:space="preserve"/>
      </w:r>
    </w:p>
    <w:p>
      <w:pPr>
        <w:pStyle w:val="Heading2"/>
        <w:spacing w:after="80" w:before="160"/>
      </w:pPr>
      <w:r>
        <w:rPr>
          <w:rFonts w:ascii="Arial" w:cs="Arial" w:eastAsia="Arial" w:hAnsi="Arial"/>
        </w:rPr>
        <w:t xml:space="preserve">O que queremos mostrar ao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5A623" w:val="clear"/>
            <w:tcMar>
              <w:top w:type="dxa" w:w="80"/>
              <w:left w:type="dxa" w:w="60"/>
              <w:bottom w:type="dxa" w:w="80"/>
              <w:right w:type="dxa" w:w="40"/>
            </w:tcMar>
          </w:tcPr>
          <w:p>
            <w:pPr>
              <w:spacing w:after="100" w:before="0"/>
              <w:jc w:val="center"/>
            </w:pPr>
            <w:r>
              <w:rPr>
                <w:rFonts w:ascii="Arial" w:cs="Arial" w:eastAsia="Arial" w:hAnsi="Arial"/>
                <w:b/>
                <w:bCs/>
                <w:color w:val="FFFFFF"/>
                <w:sz w:val="20"/>
                <w:szCs w:val="20"/>
              </w:rPr>
              <w:t xml:space="preserve">!</w:t>
            </w:r>
          </w:p>
        </w:tc>
        <w:tc>
          <w:tcPr>
            <w:tcW w:type="dxa" w:w="9160"/>
            <w:tcBorders>
              <w:top w:val="none" w:color="FFFFFF" w:sz="0"/>
              <w:left w:val="none" w:color="FFFFFF" w:sz="0"/>
              <w:bottom w:val="none" w:color="FFFFFF" w:sz="0"/>
              <w:right w:val="none" w:color="FFFFFF" w:sz="0"/>
            </w:tcBorders>
            <w:shd w:fill="FFF8EC" w:val="clear"/>
            <w:tcMar>
              <w:top w:type="dxa" w:w="90"/>
              <w:left w:type="dxa" w:w="140"/>
              <w:bottom w:type="dxa" w:w="90"/>
              <w:right w:type="dxa" w:w="120"/>
            </w:tcMar>
          </w:tcPr>
          <w:p>
            <w:pPr>
              <w:spacing w:after="100" w:before="0"/>
              <w:jc w:val="left"/>
            </w:pPr>
            <w:r>
              <w:rPr>
                <w:rFonts w:ascii="Arial" w:cs="Arial" w:eastAsia="Arial" w:hAnsi="Arial"/>
                <w:b w:val="false"/>
                <w:bCs w:val="false"/>
                <w:color w:val="0D1B2A"/>
                <w:sz w:val="18"/>
                <w:szCs w:val="18"/>
              </w:rPr>
              <w:t xml:space="preserve">Revelar a sofisticação real do portfólio de IA da empresa. É muito comum encontrar organizações que declaram ter IA avançada mas, ao analisar o portfólio, têm apenas modelos de classificação de 2018. Esta dimensão expõe a lacuna entre narrativa e realidade técnica.</w:t>
            </w:r>
          </w:p>
        </w:tc>
      </w:tr>
    </w:tbl>
    <w:p>
      <w:pPr>
        <w:spacing w:after="0" w:before="80"/>
      </w:pPr>
      <w:r>
        <w:rPr>
          <w:sz w:val="2"/>
          <w:szCs w:val="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none" w:color="FFFFFF" w:sz="0"/>
              <w:left w:val="none" w:color="FFFFFF" w:sz="0"/>
              <w:bottom w:val="none" w:color="FFFFFF" w:sz="0"/>
              <w:right w:val="none" w:color="FFFFFF" w:sz="0"/>
            </w:tcBorders>
            <w:shd w:fill="0D1B2A" w:val="clear"/>
            <w:tcMar>
              <w:top w:type="dxa" w:w="120"/>
              <w:left w:type="dxa" w:w="100"/>
              <w:bottom w:type="dxa" w:w="120"/>
              <w:right w:type="dxa" w:w="80"/>
            </w:tcMar>
          </w:tcPr>
          <w:p>
            <w:pPr>
              <w:spacing w:after="100" w:before="0"/>
              <w:jc w:val="center"/>
            </w:pPr>
            <w:r>
              <w:rPr>
                <w:rFonts w:ascii="Arial" w:cs="Arial" w:eastAsia="Arial" w:hAnsi="Arial"/>
                <w:b/>
                <w:bCs/>
                <w:color w:val="FFFFFF"/>
                <w:sz w:val="28"/>
                <w:szCs w:val="28"/>
              </w:rPr>
              <w:t xml:space="preserve">D16</w:t>
            </w:r>
          </w:p>
        </w:tc>
        <w:tc>
          <w:tcPr>
            <w:tcW w:type="dxa" w:w="7560"/>
            <w:tcBorders>
              <w:top w:val="none" w:color="FFFFFF" w:sz="0"/>
              <w:left w:val="none" w:color="FFFFFF" w:sz="0"/>
              <w:bottom w:val="none" w:color="FFFFFF" w:sz="0"/>
              <w:right w:val="none" w:color="FFFFFF" w:sz="0"/>
            </w:tcBorders>
            <w:shd w:fill="0D1B2A" w:val="clear"/>
            <w:tcMar>
              <w:top w:type="dxa" w:w="100"/>
              <w:left w:type="dxa" w:w="140"/>
              <w:bottom w:type="dxa" w:w="100"/>
              <w:right w:type="dxa" w:w="100"/>
            </w:tcMar>
          </w:tcPr>
          <w:p>
            <w:pPr>
              <w:spacing w:after="100" w:before="0"/>
              <w:jc w:val="left"/>
            </w:pPr>
            <w:r>
              <w:rPr>
                <w:rFonts w:ascii="Arial" w:cs="Arial" w:eastAsia="Arial" w:hAnsi="Arial"/>
                <w:b/>
                <w:bCs/>
                <w:color w:val="FFFFFF"/>
                <w:sz w:val="26"/>
                <w:szCs w:val="26"/>
              </w:rPr>
              <w:t xml:space="preserve">Eficácia de IA (MIT CISR)</w:t>
            </w:r>
          </w:p>
        </w:tc>
        <w:tc>
          <w:tcPr>
            <w:tcW w:type="dxa" w:w="1000"/>
            <w:tcBorders>
              <w:top w:val="none" w:color="FFFFFF" w:sz="0"/>
              <w:left w:val="none" w:color="FFFFFF" w:sz="0"/>
              <w:bottom w:val="none" w:color="FFFFFF" w:sz="0"/>
              <w:right w:val="none" w:color="FFFFFF" w:sz="0"/>
            </w:tcBorders>
            <w:shd w:fill="008F7A" w:val="clear"/>
            <w:tcMar>
              <w:top w:type="dxa" w:w="100"/>
              <w:left w:type="dxa" w:w="80"/>
              <w:bottom w:type="dxa" w:w="100"/>
              <w:right w:type="dxa" w:w="80"/>
            </w:tcMar>
          </w:tcPr>
          <w:p>
            <w:pPr>
              <w:spacing w:after="100" w:before="0"/>
              <w:jc w:val="center"/>
            </w:pPr>
            <w:r>
              <w:rPr>
                <w:rFonts w:ascii="Arial" w:cs="Arial" w:eastAsia="Arial" w:hAnsi="Arial"/>
                <w:b w:val="false"/>
                <w:bCs w:val="false"/>
                <w:color w:val="E0F5F1"/>
                <w:sz w:val="13"/>
                <w:szCs w:val="13"/>
              </w:rPr>
              <w:t xml:space="preserve">Peso</w:t>
            </w:r>
            <w:r>
              <w:rPr>
                <w:rFonts w:ascii="Arial" w:cs="Arial" w:eastAsia="Arial" w:hAnsi="Arial"/>
                <w:b/>
                <w:bCs/>
                <w:color w:val="FFFFFF"/>
                <w:sz w:val="22"/>
                <w:szCs w:val="22"/>
              </w:rPr>
              <w:t xml:space="preserve"> 8%</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D1B2A" w:val="clear"/>
            <w:tcMar>
              <w:top w:type="dxa" w:w="70"/>
              <w:left w:type="dxa" w:w="100"/>
              <w:bottom w:type="dxa" w:w="70"/>
              <w:right w:type="dxa" w:w="80"/>
            </w:tcMar>
          </w:tcPr>
          <w:p>
            <w:pPr>
              <w:spacing w:after="100" w:before="0"/>
              <w:jc w:val="center"/>
            </w:pPr>
            <w:r>
              <w:rPr>
                <w:rFonts w:ascii="Arial" w:cs="Arial" w:eastAsia="Arial" w:hAnsi="Arial"/>
                <w:b/>
                <w:bCs/>
                <w:color w:val="FFFFFF"/>
                <w:sz w:val="17"/>
                <w:szCs w:val="17"/>
              </w:rPr>
              <w:t xml:space="preserve">MIT CISR</w:t>
            </w:r>
          </w:p>
        </w:tc>
      </w:tr>
    </w:tbl>
    <w:p>
      <w:pPr>
        <w:spacing w:after="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8F7A" w:val="clear"/>
            <w:tcMar>
              <w:top w:type="dxa" w:w="70"/>
              <w:left w:type="dxa" w:w="80"/>
              <w:bottom w:type="dxa" w:w="70"/>
              <w:right w:type="dxa" w:w="60"/>
            </w:tcMar>
          </w:tcPr>
          <w:p>
            <w:pPr>
              <w:spacing w:after="100" w:before="0"/>
              <w:jc w:val="center"/>
            </w:pPr>
            <w:r>
              <w:rPr>
                <w:rFonts w:ascii="Arial" w:cs="Arial" w:eastAsia="Arial" w:hAnsi="Arial"/>
                <w:b/>
                <w:bCs/>
                <w:color w:val="FFFFFF"/>
                <w:sz w:val="14"/>
                <w:szCs w:val="14"/>
              </w:rPr>
              <w:t xml:space="preserve">MIT</w:t>
            </w:r>
          </w:p>
        </w:tc>
        <w:tc>
          <w:tcPr>
            <w:tcW w:type="dxa" w:w="8960"/>
            <w:tcBorders>
              <w:top w:val="none" w:color="FFFFFF" w:sz="0"/>
              <w:left w:val="none" w:color="FFFFFF" w:sz="0"/>
              <w:bottom w:val="none" w:color="FFFFFF" w:sz="0"/>
              <w:right w:val="none" w:color="FFFFFF" w:sz="0"/>
            </w:tcBorders>
            <w:shd w:fill="E0F5F1" w:val="clear"/>
            <w:tcMar>
              <w:top w:type="dxa" w:w="70"/>
              <w:left w:type="dxa" w:w="120"/>
              <w:bottom w:type="dxa" w:w="70"/>
              <w:right w:type="dxa" w:w="100"/>
            </w:tcMar>
          </w:tcPr>
          <w:p>
            <w:pPr>
              <w:spacing w:after="100" w:before="0"/>
              <w:jc w:val="left"/>
            </w:pPr>
            <w:r>
              <w:rPr>
                <w:rFonts w:ascii="Arial" w:cs="Arial" w:eastAsia="Arial" w:hAnsi="Arial"/>
                <w:b/>
                <w:bCs/>
                <w:color w:val="008F7A"/>
                <w:sz w:val="17"/>
                <w:szCs w:val="17"/>
              </w:rPr>
              <w:t xml:space="preserve">Métrica síntese do MIT CISR. Weill, Woerner &amp; Sebastian (2024) propõem que a eficácia da IA deve ser medida em três lentes obrigatórias: Operações (eficiência interna), Experiência do Cliente (impacto externo) e Ecossistema (valor para parceiros). Organizações otimizadas têm scores altos nas três.</w:t>
            </w:r>
          </w:p>
        </w:tc>
      </w:tr>
    </w:tbl>
    <w:p>
      <w:pPr>
        <w:spacing w:after="0" w:before="80"/>
      </w:pPr>
      <w:r>
        <w:rPr>
          <w:sz w:val="2"/>
          <w:szCs w:val="2"/>
        </w:rPr>
        <w:t xml:space="preserve"/>
      </w:r>
    </w:p>
    <w:p>
      <w:pPr>
        <w:pStyle w:val="Heading2"/>
        <w:spacing w:after="80" w:before="160"/>
      </w:pPr>
      <w:r>
        <w:rPr>
          <w:rFonts w:ascii="Arial" w:cs="Arial" w:eastAsia="Arial" w:hAnsi="Arial"/>
        </w:rPr>
        <w:t xml:space="preserve">De onde veio esta dimensão</w:t>
      </w:r>
    </w:p>
    <w:p>
      <w:pPr>
        <w:spacing w:after="120" w:before="0"/>
        <w:jc w:val="left"/>
      </w:pPr>
      <w:r>
        <w:rPr>
          <w:rFonts w:ascii="Arial" w:cs="Arial" w:eastAsia="Arial" w:hAnsi="Arial"/>
          <w:b w:val="false"/>
          <w:bCs w:val="false"/>
          <w:color w:val="0D1B2A"/>
          <w:sz w:val="20"/>
          <w:szCs w:val="20"/>
        </w:rPr>
        <w:t xml:space="preserve">Esta dimensão é a operacionalização direta da métrica de eficácia proposta pelo MIT CISR em 'Enterprise AI: From Experimentation to Transformation' (2024). O CISR propõe que maturidade verdadeira não é medida apenas por quantos projetos de IA a empresa tem, mas por quão eficaz é o uso de IA em três domínios: (1) Operações — a IA melhora a eficiência e qualidade dos processos internos? (2) Experiência do Cliente — a IA cria experiências superiores que o cliente percebe? (3) Ecossistema — a IA fortalece parcerias, gera dados de rede e cria vantagens de ecossistema? Esta é a dimensão mais diretamente derivada da pesquisa acadêmica do MIT CISR.</w:t>
      </w:r>
    </w:p>
    <w:p>
      <w:pPr>
        <w:pStyle w:val="Heading2"/>
        <w:spacing w:after="80" w:before="160"/>
      </w:pPr>
      <w:r>
        <w:rPr>
          <w:rFonts w:ascii="Arial" w:cs="Arial" w:eastAsia="Arial" w:hAnsi="Arial"/>
        </w:rPr>
        <w:t xml:space="preserve">Critérios avaliados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Lente Operações: IA reduz tempo de ciclo, custo por transação e taxa de erro em processos core</w:t>
            </w:r>
          </w:p>
          <w:p>
            <w:pPr>
              <w:pStyle w:val="ListParagraph"/>
              <w:numPr>
                <w:ilvl w:val="0"/>
                <w:numId w:val="2"/>
              </w:numPr>
              <w:spacing w:after="30" w:before="30"/>
            </w:pPr>
            <w:r>
              <w:rPr>
                <w:rFonts w:ascii="Arial" w:cs="Arial" w:eastAsia="Arial" w:hAnsi="Arial"/>
                <w:b w:val="false"/>
                <w:bCs w:val="false"/>
                <w:color w:val="0D1B2A"/>
                <w:sz w:val="18"/>
                <w:szCs w:val="18"/>
              </w:rPr>
              <w:t xml:space="preserve">Lente Operações: métricas de eficiência operacional rastreadas antes e depois da IA</w:t>
            </w:r>
          </w:p>
          <w:p>
            <w:pPr>
              <w:pStyle w:val="ListParagraph"/>
              <w:numPr>
                <w:ilvl w:val="0"/>
                <w:numId w:val="2"/>
              </w:numPr>
              <w:spacing w:after="30" w:before="30"/>
            </w:pPr>
            <w:r>
              <w:rPr>
                <w:rFonts w:ascii="Arial" w:cs="Arial" w:eastAsia="Arial" w:hAnsi="Arial"/>
                <w:b w:val="false"/>
                <w:bCs w:val="false"/>
                <w:color w:val="0D1B2A"/>
                <w:sz w:val="18"/>
                <w:szCs w:val="18"/>
              </w:rPr>
              <w:t xml:space="preserve">Lente Experiência do Cliente: IA melhora NPS, CSAT, tempo de resolução e personalização</w:t>
            </w:r>
          </w:p>
        </w:tc>
        <w:tc>
          <w:tcPr>
            <w:tcW w:type="dxa" w:w="4680"/>
            <w:tcBorders>
              <w:top w:val="single" w:color="E0E0E0" w:sz="1"/>
              <w:left w:val="single" w:color="E0E0E0" w:sz="1"/>
              <w:bottom w:val="single" w:color="E0E0E0" w:sz="1"/>
              <w:right w:val="single" w:color="E0E0E0" w:sz="1"/>
            </w:tcBorders>
            <w:shd w:fill="E0F5F1" w:val="clear"/>
            <w:tcMar>
              <w:top w:type="dxa" w:w="80"/>
              <w:left w:type="dxa" w:w="120"/>
              <w:bottom w:type="dxa" w:w="80"/>
              <w:right w:type="dxa" w:w="100"/>
            </w:tcMar>
          </w:tcPr>
          <w:p>
            <w:pPr>
              <w:pStyle w:val="ListParagraph"/>
              <w:numPr>
                <w:ilvl w:val="0"/>
                <w:numId w:val="2"/>
              </w:numPr>
              <w:spacing w:after="30" w:before="30"/>
            </w:pPr>
            <w:r>
              <w:rPr>
                <w:rFonts w:ascii="Arial" w:cs="Arial" w:eastAsia="Arial" w:hAnsi="Arial"/>
                <w:b w:val="false"/>
                <w:bCs w:val="false"/>
                <w:color w:val="0D1B2A"/>
                <w:sz w:val="18"/>
                <w:szCs w:val="18"/>
              </w:rPr>
              <w:t xml:space="preserve">Lente Experiência do Cliente: casos documentados de melhoria de CX atribuída à IA</w:t>
            </w:r>
          </w:p>
          <w:p>
            <w:pPr>
              <w:pStyle w:val="ListParagraph"/>
              <w:numPr>
                <w:ilvl w:val="0"/>
                <w:numId w:val="2"/>
              </w:numPr>
              <w:spacing w:after="30" w:before="30"/>
            </w:pPr>
            <w:r>
              <w:rPr>
                <w:rFonts w:ascii="Arial" w:cs="Arial" w:eastAsia="Arial" w:hAnsi="Arial"/>
                <w:b w:val="false"/>
                <w:bCs w:val="false"/>
                <w:color w:val="0D1B2A"/>
                <w:sz w:val="18"/>
                <w:szCs w:val="18"/>
              </w:rPr>
              <w:t xml:space="preserve">Lente Ecossistema: IA fortalece integrações com parceiros, fornecedores e plataformas</w:t>
            </w:r>
          </w:p>
          <w:p>
            <w:pPr>
              <w:pStyle w:val="ListParagraph"/>
              <w:numPr>
                <w:ilvl w:val="0"/>
                <w:numId w:val="2"/>
              </w:numPr>
              <w:spacing w:after="30" w:before="30"/>
            </w:pPr>
            <w:r>
              <w:rPr>
                <w:rFonts w:ascii="Arial" w:cs="Arial" w:eastAsia="Arial" w:hAnsi="Arial"/>
                <w:b w:val="false"/>
                <w:bCs w:val="false"/>
                <w:color w:val="0D1B2A"/>
                <w:sz w:val="18"/>
                <w:szCs w:val="18"/>
              </w:rPr>
              <w:t xml:space="preserve">Lente Ecossistema: dados de rede e efeitos de escala gerados por IA com parceiros</w:t>
            </w:r>
          </w:p>
        </w:tc>
      </w:tr>
    </w:tbl>
    <w:p>
      <w:pPr>
        <w:spacing w:after="0" w:before="80"/>
      </w:pPr>
      <w:r>
        <w:rPr>
          <w:sz w:val="2"/>
          <w:szCs w:val="2"/>
        </w:rPr>
        <w:t xml:space="preserve"/>
      </w:r>
    </w:p>
    <w:p>
      <w:pPr>
        <w:pStyle w:val="Heading2"/>
        <w:spacing w:after="80" w:before="160"/>
      </w:pPr>
      <w:r>
        <w:rPr>
          <w:rFonts w:ascii="Arial" w:cs="Arial" w:eastAsia="Arial" w:hAnsi="Arial"/>
        </w:rPr>
        <w:t xml:space="preserve">Por que esta dimensão importa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008F7A" w:val="clear"/>
            <w:tcMar>
              <w:top w:type="dxa" w:w="80"/>
              <w:left w:type="dxa" w:w="60"/>
              <w:bottom w:type="dxa" w:w="80"/>
              <w:right w:type="dxa" w:w="40"/>
            </w:tcMar>
          </w:tcPr>
          <w:p>
            <w:pPr>
              <w:spacing w:after="100" w:before="0"/>
              <w:jc w:val="left"/>
            </w:pPr>
            <w:r>
              <w:rPr>
                <w:rFonts w:ascii="Arial" w:cs="Arial" w:eastAsia="Arial" w:hAnsi="Arial"/>
                <w:b w:val="false"/>
                <w:bCs w:val="false"/>
                <w:color w:val="0D1B2A"/>
                <w:sz w:val="20"/>
                <w:szCs w:val="20"/>
              </w:rPr>
              <w:t xml:space="preserve"> </w:t>
            </w:r>
          </w:p>
        </w:tc>
        <w:tc>
          <w:tcPr>
            <w:tcW w:type="dxa" w:w="9220"/>
            <w:tcBorders>
              <w:top w:val="none" w:color="FFFFFF" w:sz="0"/>
              <w:left w:val="none" w:color="FFFFFF" w:sz="0"/>
              <w:bottom w:val="none" w:color="FFFFFF" w:sz="0"/>
              <w:right w:val="none" w:color="FFFFFF" w:sz="0"/>
            </w:tcBorders>
            <w:shd w:fill="E0F5F1" w:val="clear"/>
            <w:tcMar>
              <w:top w:type="dxa" w:w="100"/>
              <w:left w:type="dxa" w:w="140"/>
              <w:bottom w:type="dxa" w:w="100"/>
              <w:right w:type="dxa" w:w="120"/>
            </w:tcMar>
          </w:tcPr>
          <w:p>
            <w:pPr>
              <w:spacing w:after="100" w:before="0"/>
              <w:jc w:val="left"/>
            </w:pPr>
            <w:r>
              <w:rPr>
                <w:rFonts w:ascii="Arial" w:cs="Arial" w:eastAsia="Arial" w:hAnsi="Arial"/>
                <w:b w:val="false"/>
                <w:bCs w:val="false"/>
                <w:color w:val="0D1B2A"/>
                <w:sz w:val="18"/>
                <w:szCs w:val="18"/>
              </w:rPr>
              <w:t xml:space="preserve">Eficácia em apenas uma lente é insuficiente. Uma empresa pode ter IA excelente internamente mas não gerar valor para o cliente. Ou pode ter ótima CX mas depender de um ecossistema fraco. O MIT CISR demonstrou que as melhores empresas são eficazes nas três simultaneamente.</w:t>
            </w:r>
          </w:p>
        </w:tc>
      </w:tr>
    </w:tbl>
    <w:p>
      <w:pPr>
        <w:spacing w:after="0" w:before="80"/>
      </w:pPr>
      <w:r>
        <w:rPr>
          <w:sz w:val="2"/>
          <w:szCs w:val="2"/>
        </w:rPr>
        <w:t xml:space="preserve"/>
      </w:r>
    </w:p>
    <w:p>
      <w:pPr>
        <w:pStyle w:val="Heading2"/>
        <w:spacing w:after="80" w:before="160"/>
      </w:pPr>
      <w:r>
        <w:rPr>
          <w:rFonts w:ascii="Arial" w:cs="Arial" w:eastAsia="Arial" w:hAnsi="Arial"/>
        </w:rPr>
        <w:t xml:space="preserve">O que queremos mostrar ao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5A623" w:val="clear"/>
            <w:tcMar>
              <w:top w:type="dxa" w:w="80"/>
              <w:left w:type="dxa" w:w="60"/>
              <w:bottom w:type="dxa" w:w="80"/>
              <w:right w:type="dxa" w:w="40"/>
            </w:tcMar>
          </w:tcPr>
          <w:p>
            <w:pPr>
              <w:spacing w:after="100" w:before="0"/>
              <w:jc w:val="center"/>
            </w:pPr>
            <w:r>
              <w:rPr>
                <w:rFonts w:ascii="Arial" w:cs="Arial" w:eastAsia="Arial" w:hAnsi="Arial"/>
                <w:b/>
                <w:bCs/>
                <w:color w:val="FFFFFF"/>
                <w:sz w:val="20"/>
                <w:szCs w:val="20"/>
              </w:rPr>
              <w:t xml:space="preserve">!</w:t>
            </w:r>
          </w:p>
        </w:tc>
        <w:tc>
          <w:tcPr>
            <w:tcW w:type="dxa" w:w="9160"/>
            <w:tcBorders>
              <w:top w:val="none" w:color="FFFFFF" w:sz="0"/>
              <w:left w:val="none" w:color="FFFFFF" w:sz="0"/>
              <w:bottom w:val="none" w:color="FFFFFF" w:sz="0"/>
              <w:right w:val="none" w:color="FFFFFF" w:sz="0"/>
            </w:tcBorders>
            <w:shd w:fill="FFF8EC" w:val="clear"/>
            <w:tcMar>
              <w:top w:type="dxa" w:w="90"/>
              <w:left w:type="dxa" w:w="140"/>
              <w:bottom w:type="dxa" w:w="90"/>
              <w:right w:type="dxa" w:w="120"/>
            </w:tcMar>
          </w:tcPr>
          <w:p>
            <w:pPr>
              <w:spacing w:after="100" w:before="0"/>
              <w:jc w:val="left"/>
            </w:pPr>
            <w:r>
              <w:rPr>
                <w:rFonts w:ascii="Arial" w:cs="Arial" w:eastAsia="Arial" w:hAnsi="Arial"/>
                <w:b w:val="false"/>
                <w:bCs w:val="false"/>
                <w:color w:val="0D1B2A"/>
                <w:sz w:val="18"/>
                <w:szCs w:val="18"/>
              </w:rPr>
              <w:t xml:space="preserve">Oferecer o diagnóstico mais completo e academicamente rigoroso da maturidade em IA — usando exatamente a metodologia que o MIT CISR usa para classificar empresas globalmente. Um score alto aqui é a prova mais sólida de maturidade em IA que uma organização pode apresentar.</w:t>
            </w:r>
          </w:p>
        </w:tc>
      </w:tr>
    </w:tbl>
    <w:p>
      <w:pPr>
        <w:spacing w:after="0" w:before="80"/>
      </w:pPr>
      <w:r>
        <w:rPr>
          <w:sz w:val="2"/>
          <w:szCs w:val="2"/>
        </w:rPr>
        <w:t xml:space="preserve"/>
      </w:r>
    </w:p>
    <w:p>
      <w:pPr>
        <w:spacing w:after="0" w:before="120"/>
      </w:pPr>
      <w:r>
        <w:rPr>
          <w:sz w:val="2"/>
          <w:szCs w:val="2"/>
        </w:rPr>
        <w:t xml:space="preserve"/>
      </w:r>
    </w:p>
    <w:p>
      <w:r>
        <w:br w:type="page"/>
      </w:r>
    </w:p>
    <w:p>
      <w:pPr>
        <w:pStyle w:val="Heading1"/>
        <w:spacing w:after="120" w:before="0"/>
      </w:pPr>
      <w:r>
        <w:rPr>
          <w:rFonts w:ascii="Arial" w:cs="Arial" w:eastAsia="Arial" w:hAnsi="Arial"/>
        </w:rPr>
        <w:t xml:space="preserve">Referências Bibliográficas</w:t>
      </w:r>
    </w:p>
    <w:p>
      <w:pPr>
        <w:pStyle w:val="ListParagraph"/>
        <w:numPr>
          <w:ilvl w:val="0"/>
          <w:numId w:val="3"/>
        </w:numPr>
        <w:spacing w:after="60" w:before="60"/>
      </w:pPr>
      <w:r>
        <w:rPr>
          <w:rFonts w:ascii="Arial" w:cs="Arial" w:eastAsia="Arial" w:hAnsi="Arial"/>
          <w:b w:val="false"/>
          <w:bCs w:val="false"/>
          <w:color w:val="7A8FA6"/>
          <w:sz w:val="18"/>
          <w:szCs w:val="18"/>
        </w:rPr>
        <w:t xml:space="preserve">Weill, P., Woerner, S. L., &amp; Sebastian, I. M. (2024). Enterprise AI: From Experimentation to Transformation. MIT CISR Research Briefing, Vol. XXIV, No. 2.</w:t>
      </w:r>
    </w:p>
    <w:p>
      <w:pPr>
        <w:pStyle w:val="ListParagraph"/>
        <w:numPr>
          <w:ilvl w:val="0"/>
          <w:numId w:val="3"/>
        </w:numPr>
        <w:spacing w:after="60" w:before="60"/>
      </w:pPr>
      <w:r>
        <w:rPr>
          <w:rFonts w:ascii="Arial" w:cs="Arial" w:eastAsia="Arial" w:hAnsi="Arial"/>
          <w:b w:val="false"/>
          <w:bCs w:val="false"/>
          <w:color w:val="7A8FA6"/>
          <w:sz w:val="18"/>
          <w:szCs w:val="18"/>
        </w:rPr>
        <w:t xml:space="preserve">McKinsey Global Institute. (2023). The Economic Potential of Generative AI: The Next Productivity Frontier. McKinsey &amp; Company.</w:t>
      </w:r>
    </w:p>
    <w:p>
      <w:pPr>
        <w:pStyle w:val="ListParagraph"/>
        <w:numPr>
          <w:ilvl w:val="0"/>
          <w:numId w:val="3"/>
        </w:numPr>
        <w:spacing w:after="60" w:before="60"/>
      </w:pPr>
      <w:r>
        <w:rPr>
          <w:rFonts w:ascii="Arial" w:cs="Arial" w:eastAsia="Arial" w:hAnsi="Arial"/>
          <w:b w:val="false"/>
          <w:bCs w:val="false"/>
          <w:color w:val="7A8FA6"/>
          <w:sz w:val="18"/>
          <w:szCs w:val="18"/>
        </w:rPr>
        <w:t xml:space="preserve">National Institute of Standards and Technology. (2023). Artificial Intelligence Risk Management Framework (AI RMF 1.0). NIST AI 100-1.</w:t>
      </w:r>
    </w:p>
    <w:p>
      <w:pPr>
        <w:pStyle w:val="ListParagraph"/>
        <w:numPr>
          <w:ilvl w:val="0"/>
          <w:numId w:val="3"/>
        </w:numPr>
        <w:spacing w:after="60" w:before="60"/>
      </w:pPr>
      <w:r>
        <w:rPr>
          <w:rFonts w:ascii="Arial" w:cs="Arial" w:eastAsia="Arial" w:hAnsi="Arial"/>
          <w:b w:val="false"/>
          <w:bCs w:val="false"/>
          <w:color w:val="7A8FA6"/>
          <w:sz w:val="18"/>
          <w:szCs w:val="18"/>
        </w:rPr>
        <w:t xml:space="preserve">SFIA Foundation. (2021). Skills Framework for the Information Age Version 8. The SFIA Foundation.</w:t>
      </w:r>
    </w:p>
    <w:p>
      <w:pPr>
        <w:pStyle w:val="ListParagraph"/>
        <w:numPr>
          <w:ilvl w:val="0"/>
          <w:numId w:val="3"/>
        </w:numPr>
        <w:spacing w:after="60" w:before="60"/>
      </w:pPr>
      <w:r>
        <w:rPr>
          <w:rFonts w:ascii="Arial" w:cs="Arial" w:eastAsia="Arial" w:hAnsi="Arial"/>
          <w:b w:val="false"/>
          <w:bCs w:val="false"/>
          <w:color w:val="7A8FA6"/>
          <w:sz w:val="18"/>
          <w:szCs w:val="18"/>
        </w:rPr>
        <w:t xml:space="preserve">Prosci. (2018). ADKAR: A Model for Change in Business, Government and Our Community. Prosci Learning Center Publications.</w:t>
      </w:r>
    </w:p>
    <w:p>
      <w:pPr>
        <w:pStyle w:val="ListParagraph"/>
        <w:numPr>
          <w:ilvl w:val="0"/>
          <w:numId w:val="3"/>
        </w:numPr>
        <w:spacing w:after="60" w:before="60"/>
      </w:pPr>
      <w:r>
        <w:rPr>
          <w:rFonts w:ascii="Arial" w:cs="Arial" w:eastAsia="Arial" w:hAnsi="Arial"/>
          <w:b w:val="false"/>
          <w:bCs w:val="false"/>
          <w:color w:val="7A8FA6"/>
          <w:sz w:val="18"/>
          <w:szCs w:val="18"/>
        </w:rPr>
        <w:t xml:space="preserve">Gartner. (2023). AI Maturity Model: From Hype to Reality in Enterprise AI. Gartner Research.</w:t>
      </w:r>
    </w:p>
    <w:p>
      <w:pPr>
        <w:pStyle w:val="ListParagraph"/>
        <w:numPr>
          <w:ilvl w:val="0"/>
          <w:numId w:val="3"/>
        </w:numPr>
        <w:spacing w:after="60" w:before="60"/>
      </w:pPr>
      <w:r>
        <w:rPr>
          <w:rFonts w:ascii="Arial" w:cs="Arial" w:eastAsia="Arial" w:hAnsi="Arial"/>
          <w:b w:val="false"/>
          <w:bCs w:val="false"/>
          <w:color w:val="7A8FA6"/>
          <w:sz w:val="18"/>
          <w:szCs w:val="18"/>
        </w:rPr>
        <w:t xml:space="preserve">Gartner. (2024). Data and Analytics Leadership Vision for 2024. Gartner Research.</w:t>
      </w:r>
    </w:p>
    <w:p>
      <w:pPr>
        <w:pStyle w:val="ListParagraph"/>
        <w:numPr>
          <w:ilvl w:val="0"/>
          <w:numId w:val="3"/>
        </w:numPr>
        <w:spacing w:after="60" w:before="60"/>
      </w:pPr>
      <w:r>
        <w:rPr>
          <w:rFonts w:ascii="Arial" w:cs="Arial" w:eastAsia="Arial" w:hAnsi="Arial"/>
          <w:b w:val="false"/>
          <w:bCs w:val="false"/>
          <w:color w:val="7A8FA6"/>
          <w:sz w:val="18"/>
          <w:szCs w:val="18"/>
        </w:rPr>
        <w:t xml:space="preserve">BCG Henderson Institute. (2023). How to Create Value with AI at Scale. Boston Consulting Group.</w:t>
      </w:r>
    </w:p>
    <w:p>
      <w:pPr>
        <w:pStyle w:val="ListParagraph"/>
        <w:numPr>
          <w:ilvl w:val="0"/>
          <w:numId w:val="3"/>
        </w:numPr>
        <w:spacing w:after="60" w:before="60"/>
      </w:pPr>
      <w:r>
        <w:rPr>
          <w:rFonts w:ascii="Arial" w:cs="Arial" w:eastAsia="Arial" w:hAnsi="Arial"/>
          <w:b w:val="false"/>
          <w:bCs w:val="false"/>
          <w:color w:val="7A8FA6"/>
          <w:sz w:val="18"/>
          <w:szCs w:val="18"/>
        </w:rPr>
        <w:t xml:space="preserve">European Commission. (2024). EU AI Act: Regulation (EU) 2024/1689 of the European Parliament and of the Council.</w:t>
      </w:r>
    </w:p>
    <w:p>
      <w:pPr>
        <w:pStyle w:val="ListParagraph"/>
        <w:numPr>
          <w:ilvl w:val="0"/>
          <w:numId w:val="3"/>
        </w:numPr>
        <w:spacing w:after="60" w:before="60"/>
      </w:pPr>
      <w:r>
        <w:rPr>
          <w:rFonts w:ascii="Arial" w:cs="Arial" w:eastAsia="Arial" w:hAnsi="Arial"/>
          <w:b w:val="false"/>
          <w:bCs w:val="false"/>
          <w:color w:val="7A8FA6"/>
          <w:sz w:val="18"/>
          <w:szCs w:val="18"/>
        </w:rPr>
        <w:t xml:space="preserve">LinkedIn. (2024). Global Talent Trends: The AI Talent Gap. LinkedIn Workforce Report 2024.</w:t>
      </w:r>
    </w:p>
    <w:p>
      <w:pPr>
        <w:pStyle w:val="ListParagraph"/>
        <w:numPr>
          <w:ilvl w:val="0"/>
          <w:numId w:val="3"/>
        </w:numPr>
        <w:spacing w:after="60" w:before="60"/>
      </w:pPr>
      <w:r>
        <w:rPr>
          <w:rFonts w:ascii="Arial" w:cs="Arial" w:eastAsia="Arial" w:hAnsi="Arial"/>
          <w:b w:val="false"/>
          <w:bCs w:val="false"/>
          <w:color w:val="7A8FA6"/>
          <w:sz w:val="18"/>
          <w:szCs w:val="18"/>
        </w:rPr>
        <w:t xml:space="preserve">Stanford HAI. (2024). AI Index Annual Report 2024. Stanford University Human-Centered Artificial Intelligence.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D1B2A"/>
      <w:sz w:val="34"/>
      <w:szCs w:val="34"/>
    </w:rPr>
  </w:style>
  <w:style w:type="paragraph" w:styleId="Heading2">
    <w:name w:val="Heading 2"/>
    <w:basedOn w:val="Normal"/>
    <w:next w:val="Normal"/>
    <w:qFormat/>
    <w:pPr>
      <w:spacing w:after="80" w:before="180"/>
      <w:outlineLvl w:val="1"/>
    </w:pPr>
    <w:rPr>
      <w:rFonts w:ascii="Arial" w:cs="Arial" w:eastAsia="Arial" w:hAnsi="Arial"/>
      <w:b/>
      <w:bCs/>
      <w:color w:val="008F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2026-06-15T14:51:15.365Z</dcterms:created>
  <dcterms:modified xsi:type="dcterms:W3CDTF">2026-06-15T14:51:15.379Z</dcterms:modified>
</cp:coreProperties>
</file>

<file path=docProps/custom.xml><?xml version="1.0" encoding="utf-8"?>
<Properties xmlns="http://schemas.openxmlformats.org/officeDocument/2006/custom-properties" xmlns:vt="http://schemas.openxmlformats.org/officeDocument/2006/docPropsVTypes"/>
</file>