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60H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DI PRIMA FORMAZIONE PROFESSIONALE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60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Russo, Avv. C. Gugliotta,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i docenti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7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CF [CF], frequentate le 60 ore di prima formazione con modalità di e-learning sulla piattaforma didattica di RB Consulting Srl, ha svolto il test di verifica finale relativo al corso di prima formazione ai fini IVASS.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aula virtuale equipollente all’aula,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candidato, ha eseguito il test senza l’ausilio di alcun supporto cartaceo e/o elettronico, né l’utilizzo di telefoni cellulari, superando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8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ind w:left="1276" w:hanging="283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danni (coperture, costi ed esclusioni), compresi i rischi accessori coperti con tali polizze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vita (coperture, costi ed esclusioni), compresi i benefici garantiti e i rischi accessori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Fondo di garanzia assicurativo dei rami vita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delle esigenze dei consumatori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vantaggi e degli svantaggi delle diverse opzioni di investimento per gli assicurati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rischi finanziari sostenuti dagli assicurati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Mercato delle assicurazioni e mercato dei prodotti di risparmio e dei servizi finanziari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Organizzazione e benefici garantiti dal sistema pensionistico dello Stato italiano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Esercizio dell’impresa assicurativa in Italia e all’estero – stabilimento e servizi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Impresa di riassicurazione - condizioni di accesso e di esercizio e regime di operatività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Controlli sull’impresa di 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che disciplinano la distribuzione dei prodotti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assicurativa e riassicurativa - condizioni di accesso e di esercizio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Registro degli intermediari assicurativi e riassicurativi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Regole di comportamento degli intermediari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Disciplina normativa in materia di POG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Sanzioni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Conoscenza degli standard di etica professionale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Contratto di assicurazione e di riassicurazione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in materia di protezione e tutela del consumatore e Codice del consumo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contrasto al finanziamento del terrorismo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del credito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tributarie, sociali e del lavoro pertinenti alla distribuzione dei prodotti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Normativa in materia di protezione dei dati personali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Vigilanza sulle imprese e sugli intermediari</w:t>
      </w:r>
      <w:r>
        <w:br w:type="page"/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Classificazione per rami di attività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assicurative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contro i danni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 xml:space="preserve">Assicurazioni obbligatorie 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Assicurazione obbligatoria eventi catastrofali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riassicurative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tariffari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tecniche di analisi dei rischi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Trattamento fiscale dei vari tipi di polizze vita e prodotti pensionistici</w:t>
      </w:r>
    </w:p>
    <w:p>
      <w:pPr>
        <w:pStyle w:val="Normal"/>
        <w:spacing w:lineRule="auto" w:line="240" w:before="0" w:after="0"/>
        <w:ind w:left="360" w:right="850" w:hanging="0"/>
        <w:jc w:val="both"/>
        <w:rPr>
          <w:rFonts w:ascii="Times New Roman" w:hAnsi="Times New Roman" w:eastAsia="Calibri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Ciclo operativo ed economico delle imprese di assicurazione e riassicurazione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contabilità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Procedure e modalità assuntive e distributive adottate dall’impresa/e con cui l’intermediario opera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Programmazione, analisi e controllo di gestione dell’intermediario assicurativo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reclami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Sistemi alternativi di risoluzione delle liti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sinistri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del rischio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rapporti con il cliente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</w:rPr>
        <w:t>Marketing e tecniche di comunicazione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Capacità di ascoltare e decodificare i bisogni della clientela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informatica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Strumenti di Office Automation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Navigazione web e utilizzo di internet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Applicazioni/procedure e altre tecnologie predisposte dall’impresa/e con cui l’intermediario opera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Normal"/>
        <w:spacing w:lineRule="auto" w:line="240"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  <w:lang w:val="en-US"/>
      </w:rPr>
    </w:pPr>
    <w:r>
      <w:rPr>
        <w:rFonts w:cs="Times New Roman" w:ascii="Times New Roman" w:hAnsi="Times New Roman"/>
        <w:b/>
        <w:bCs/>
        <w:i/>
        <w:iCs/>
        <w:sz w:val="24"/>
        <w:szCs w:val="24"/>
        <w:lang w:val="en-US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  <w:br/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4363720</wp:posOffset>
          </wp:positionH>
          <wp:positionV relativeFrom="paragraph">
            <wp:posOffset>-60960</wp:posOffset>
          </wp:positionV>
          <wp:extent cx="2246630" cy="597535"/>
          <wp:effectExtent l="0" t="0" r="0" b="0"/>
          <wp:wrapNone/>
          <wp:docPr id="4" name="Immagin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46630" cy="597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 </w:t>
    </w:r>
    <w:r>
      <w:rPr/>
      <w:t xml:space="preserve"> </w:t>
    </w:r>
    <w:r>
      <w:rPr/>
      <w:drawing>
        <wp:inline distT="0" distB="0" distL="0" distR="0">
          <wp:extent cx="2552700" cy="273685"/>
          <wp:effectExtent l="0" t="0" r="0" b="0"/>
          <wp:docPr id="5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magine 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ab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9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<Relationship Id="rId2" Type="http://schemas.openxmlformats.org/officeDocument/2006/relationships/image" Target="media/image5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24BBCE-CC13-4AE8-A554-DAF752F32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4</Pages>
  <Words>810</Words>
  <Characters>4622</Characters>
  <CharactersWithSpaces>5422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2025-01-10T11:14:00Z</cp:lastPrinted>
  <dcterms:modified xsi:type="dcterms:W3CDTF">2025-10-09T07:12:00Z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