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30 ORE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30 ore in modalità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2025</w:t>
      </w:r>
    </w:p>
    <w:p>
      <w:pPr>
        <w:pStyle w:val="Normal"/>
        <w:spacing w:lineRule="auto" w:line="240" w:before="0" w:after="0"/>
        <w:ind w:left="1364"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A. Sgueglia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finanziario e l’intermediazione del credito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  <w:lang w:eastAsia="it-IT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Sistema finanziario, </w:t>
      </w:r>
      <w:r>
        <w:rPr>
          <w:rFonts w:eastAsia="Calibri" w:cs="Times New Roman" w:ascii="Times New Roman" w:hAnsi="Times New Roman"/>
          <w:sz w:val="24"/>
          <w:szCs w:val="24"/>
          <w:lang w:eastAsia="it-IT"/>
        </w:rPr>
        <w:t>soggetti operanti nel settore finanziario, attività bancaria, sistema istituzionale preposto alla regolamentazione e al controllo del sistema finanziario, agenti e mediatori, strumenti derivati e mercati di strumenti derivati, le società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1276" w:hanging="283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Aspetti tecnici e normativi delle forme di finanziamento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Mutui, prestiti personali, affidamenti finalizzati, leasing, factoring, cessione del quinto dello stipendio e della pensione, aperture di credito, carte di credito, deleghe di pagamento, concessione di garanzie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Trasparenza e correttezza nelle relazioni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sulla trasparenza bancaria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Il fabbisogno finanziario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Valutazione del merito creditizio</w:t>
        <w:br/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La disciplina antiriciclaggio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antiusura</w:t>
      </w:r>
    </w:p>
    <w:p>
      <w:pPr>
        <w:pStyle w:val="ListParagraph"/>
        <w:spacing w:lineRule="auto" w:line="240" w:before="0" w:after="0"/>
        <w:ind w:left="1701" w:hanging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servizi di pagamento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tema di intermediazione assicurativa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Principali tipologie di assicurazioni – Distribuzione assicurativa</w:t>
      </w:r>
    </w:p>
    <w:p>
      <w:pPr>
        <w:pStyle w:val="ListParagraph"/>
        <w:spacing w:lineRule="auto" w:line="240" w:before="0" w:after="0"/>
        <w:ind w:left="1701" w:hanging="0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reclami e dell’Arbitro bancario e finanziario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materia di protezione dei dati personali (GDPR)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della responsabilità amministrativa delle persone giuridiche, delle società e delle associazioni anche prive di personalità giuridica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vigente in materia di tutela dei consumatori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Organizzazione e funzionamento dei registri immobiliari e adempimenti relativi alla compravendita di immobili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Deontologia e correttezza professionale nei rapporti con la clientela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4363720</wp:posOffset>
          </wp:positionH>
          <wp:positionV relativeFrom="paragraph">
            <wp:posOffset>-60960</wp:posOffset>
          </wp:positionV>
          <wp:extent cx="2246630" cy="597535"/>
          <wp:effectExtent l="0" t="0" r="0" b="0"/>
          <wp:wrapNone/>
          <wp:docPr id="2" name="Immagin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46630" cy="597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381</Words>
  <Characters>2172</Characters>
  <CharactersWithSpaces>2548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2025-10-09T07:17:00Z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