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  <w:lang w:val="en-US"/>
        </w:rPr>
      </w:pPr>
      <w:r>
        <w:rPr>
          <w:rFonts w:cs="Times New Roman" w:ascii="Times New Roman" w:hAnsi="Times New Roman"/>
          <w:i/>
          <w:iCs/>
          <w:sz w:val="44"/>
          <w:szCs w:val="44"/>
          <w:lang w:val="en-US"/>
        </w:rPr>
        <w:t xml:space="preserve">CF: </w:t>
      </w:r>
      <w:r>
        <w:rPr>
          <w:rFonts w:cs="Times New Roman" w:ascii="Times New Roman" w:hAnsi="Times New Roman"/>
          <w:i/>
          <w:iCs/>
          <w:sz w:val="44"/>
          <w:szCs w:val="44"/>
        </w:rPr>
        <w:t>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PER LA PROVA VALUTATIVA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DIPENDENTI E COLLABORATORI 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 xml:space="preserve">ai sensi dell’art.14 del D.Lgs. 13 Agosto 2010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n. 141 e delle Circolari n. 19/14 e 22/15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10 ore in modalità e-learning e 2 ore di formazione a distanza in autonomia</w:t>
      </w:r>
    </w:p>
    <w:p>
      <w:pPr>
        <w:pStyle w:val="Normal"/>
        <w:spacing w:lineRule="auto" w:line="240" w:before="0" w:after="0"/>
        <w:ind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Roma, lì DATECERT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tabs>
          <w:tab w:val="clear" w:pos="708"/>
          <w:tab w:val="center" w:pos="5102" w:leader="none"/>
        </w:tabs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  <w:u w:val="single"/>
          <w:lang w:eastAsia="it-IT"/>
        </w:rPr>
        <w:t>P</w:t>
      </w: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 e l’intermediazione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Intermediari bancari, finanziari 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istituzionale preposto alla regolazione e al controllo del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Agenti in attività finanziaria e mediatori creditizi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Mutui, prestiti personali, affidamenti finalizzati,  leasing,  factoring,  cessione  del  quinto  dello  stipendio  e  della pensione, aperture di credito, carte di credito, deleghe di pagamento, concessione di garanzie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Novità introdotte da Mifid 2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Doveri dell’intermediario finanziario, violazione degli obblighi di informazione, responsabilità delle parti, obblighi di correttezza del cliente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Valutazione del merito creditizio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Rischio di credito, stima della perdita attesa, responsible lending, violazione dell’obbligo di valutazione del merito creditizio, responsabilità del finanziatore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antiriciclaggio ed antiusura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Pacchetto di riforma: AML Package, disciplina antiusura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servizi di pagamento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Novità apportate dalla PSD 2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in tema di intermediazione assicurativa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Direttiva IDD – Distribuzione assicurativa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reclami e dell’Arbitro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4363720</wp:posOffset>
          </wp:positionH>
          <wp:positionV relativeFrom="paragraph">
            <wp:posOffset>-60960</wp:posOffset>
          </wp:positionV>
          <wp:extent cx="2246630" cy="597535"/>
          <wp:effectExtent l="0" t="0" r="0" b="0"/>
          <wp:wrapNone/>
          <wp:docPr id="2" name="Immagin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663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45935-2926-4BE4-883C-7E55B1DCF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357</Words>
  <Characters>2036</Characters>
  <CharactersWithSpaces>2389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2023-01-25T09:40:00Z</cp:lastPrinted>
  <dcterms:modified xsi:type="dcterms:W3CDTF">2025-10-09T07:20:00Z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