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12"/>
          <w:szCs w:val="72"/>
          <w:lang w:val="en-US" w:eastAsia="en-US"/>
        </w:rPr>
      </w:pPr>
      <w:r>
        <w:rPr>
          <w:i/>
          <w:sz w:val="12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8"/>
          <w:lang w:val="en-US" w:eastAsia="en-US"/>
        </w:rPr>
      </w:pPr>
      <w:r>
        <w:rPr>
          <w:i/>
          <w:sz w:val="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8"/>
          <w:szCs w:val="28"/>
          <w:lang w:val="en-US" w:eastAsia="en-US"/>
        </w:rPr>
      </w:pPr>
      <w:r>
        <w:rPr>
          <w:i/>
          <w:sz w:val="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  <w:br/>
      </w: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eastAsia="Verdana" w:cs="Verdana" w:ascii="Verdana" w:hAnsi="Verdana"/>
          <w:sz w:val="18"/>
          <w:szCs w:val="18"/>
        </w:rPr>
        <w:t xml:space="preserve"> </w:t>
      </w: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15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IVASS n. 58 del 2017, al Regolamento IVASS n. 44 del 2019, al Regolamento IVASS n. 40 del 2018, al Regolamento IVASS n. 45 del 2020 e al Provvedimento IVASS n. 111 del 2021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Gugliotta, Avv. Angela Sgueglia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15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i/>
          <w:i/>
          <w:sz w:val="40"/>
          <w:szCs w:val="40"/>
          <w:u w:val="single"/>
          <w:lang w:val="en-US" w:eastAsia="en-US"/>
        </w:rPr>
      </w:pPr>
      <w:r>
        <w:rPr>
          <w:b/>
          <w:i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jc w:val="center"/>
        <w:rPr>
          <w:i/>
          <w:i/>
        </w:rPr>
      </w:pPr>
      <w:r>
        <w:rPr>
          <w:i/>
        </w:rPr>
        <w:t>*Corso aggiornato al D.Lgs. n. 74 del 2015, alla Direttiva 2016/97/UE (IDD),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UE 2016/679 (GDPR), al Provvedimento IVASS n. 58 del 2017, 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IVASS n. 44 del 2019, al Regolamento IVASS n. 40 del 2018 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(modificato e integrato dal Provvedimento IVASS n. 97 del 2020) e </w:t>
      </w:r>
    </w:p>
    <w:p>
      <w:pPr>
        <w:pStyle w:val="Normal"/>
        <w:jc w:val="center"/>
        <w:rPr>
          <w:i/>
          <w:i/>
          <w:szCs w:val="26"/>
          <w:lang w:val="en-US" w:eastAsia="en-US"/>
        </w:rPr>
      </w:pPr>
      <w:r>
        <w:rPr>
          <w:i/>
        </w:rPr>
        <w:t>al Regolamento IVASS n. 45 del 2020</w:t>
      </w:r>
    </w:p>
    <w:p>
      <w:pPr>
        <w:pStyle w:val="Normal"/>
        <w:spacing w:lineRule="auto" w:line="276"/>
        <w:ind w:right="283" w:hanging="0"/>
        <w:rPr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contrattuale e prodotti</w:t>
      </w:r>
    </w:p>
    <w:p>
      <w:pPr>
        <w:pStyle w:val="Normal"/>
        <w:numPr>
          <w:ilvl w:val="0"/>
          <w:numId w:val="3"/>
        </w:numPr>
        <w:spacing w:lineRule="auto" w:line="276"/>
        <w:ind w:left="1843" w:right="708" w:hanging="425"/>
        <w:rPr>
          <w:lang w:val="en-US" w:eastAsia="en-US"/>
        </w:rPr>
      </w:pPr>
      <w:r>
        <w:rPr/>
        <w:t>Mercato delle assicurazioni e mercato dei prodotti di risparmio e dei servizi finanziari</w:t>
      </w:r>
    </w:p>
    <w:p>
      <w:pPr>
        <w:pStyle w:val="Normal"/>
        <w:spacing w:lineRule="auto" w:line="276"/>
        <w:ind w:left="1843"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76"/>
        <w:ind w:left="1843" w:right="708" w:hanging="427"/>
        <w:rPr/>
      </w:pPr>
      <w:r>
        <w:rPr>
          <w:lang w:val="en-US" w:eastAsia="en-US"/>
        </w:rPr>
        <w:t>Riciclaggio e finanziamento del terrorismo</w:t>
      </w:r>
    </w:p>
    <w:p>
      <w:pPr>
        <w:pStyle w:val="Normal"/>
        <w:numPr>
          <w:ilvl w:val="0"/>
          <w:numId w:val="4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Normativa in materia di protezione dei dati personali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tecnica assicurativa e riassicurativa</w:t>
      </w:r>
    </w:p>
    <w:p>
      <w:pPr>
        <w:pStyle w:val="Normal"/>
        <w:numPr>
          <w:ilvl w:val="0"/>
          <w:numId w:val="2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Principali tipologie di coperture assicurative</w:t>
      </w:r>
    </w:p>
    <w:p>
      <w:pPr>
        <w:pStyle w:val="Normal"/>
        <w:numPr>
          <w:ilvl w:val="0"/>
          <w:numId w:val="2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Vendita a distanza nel settore assicurativo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amministrativa e gestionale</w:t>
      </w:r>
    </w:p>
    <w:p>
      <w:pPr>
        <w:pStyle w:val="Normal"/>
        <w:numPr>
          <w:ilvl w:val="0"/>
          <w:numId w:val="5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Ciclo operativo ed economico delle imprese di assicurazione e di riassicurazione</w:t>
      </w:r>
    </w:p>
    <w:p>
      <w:pPr>
        <w:pStyle w:val="Normal"/>
        <w:spacing w:lineRule="auto" w:line="276"/>
        <w:ind w:right="708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lang w:val="en-US" w:eastAsia="en-US"/>
        </w:rPr>
      </w:pPr>
      <w:r>
        <w:rPr>
          <w:lang w:val="en-US" w:eastAsia="en-US"/>
        </w:rPr>
        <w:t>Area informatica</w:t>
      </w:r>
    </w:p>
    <w:p>
      <w:pPr>
        <w:pStyle w:val="Normal"/>
        <w:numPr>
          <w:ilvl w:val="0"/>
          <w:numId w:val="5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Strumenti di office automation</w:t>
      </w:r>
    </w:p>
    <w:p>
      <w:pPr>
        <w:pStyle w:val="Normal"/>
        <w:numPr>
          <w:ilvl w:val="0"/>
          <w:numId w:val="5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Navigazione web e utilizzo di internet</w:t>
      </w:r>
    </w:p>
    <w:p>
      <w:pPr>
        <w:pStyle w:val="Normal"/>
        <w:numPr>
          <w:ilvl w:val="0"/>
          <w:numId w:val="5"/>
        </w:numPr>
        <w:spacing w:lineRule="auto" w:line="276"/>
        <w:ind w:left="1843" w:right="708" w:hanging="427"/>
        <w:rPr>
          <w:lang w:val="en-US" w:eastAsia="en-US"/>
        </w:rPr>
      </w:pPr>
      <w:r>
        <w:rPr>
          <w:lang w:val="en-US" w:eastAsia="en-US"/>
        </w:rPr>
        <w:t>Sicurezza informatica e protezione dei dati (durata 6h)</w:t>
      </w:r>
    </w:p>
    <w:p>
      <w:pPr>
        <w:pStyle w:val="Normal"/>
        <w:spacing w:lineRule="auto" w:line="276"/>
        <w:ind w:right="283" w:hanging="0"/>
        <w:rPr>
          <w:lang w:val="en-US" w:eastAsia="en-US"/>
        </w:rPr>
      </w:pPr>
      <w:r>
        <w:rPr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ani">
    <w:altName w:val="Bahnschrift Light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Vani;Bahnschrift Light" w:hAnsi="Vani;Bahnschrift Light" w:cs="Vani;Bahnschrift Light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;Bahnschrift Light" w:hAnsi="Vani;Bahnschrift Light" w:cs="Vani;Bahnschrift Light"/>
      <w:lang w:val="en-US" w:eastAsia="en-U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Calibri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Vani;Bahnschrift Light" w:hAnsi="Vani;Bahnschrift Light" w:cs="Vani;Bahnschrift Light"/>
      <w:lang w:val="en-US" w:eastAsia="en-U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Vani;Bahnschrift Light" w:hAnsi="Vani;Bahnschrift Light" w:cs="Vani;Bahnschrift Light"/>
      <w:lang w:val="en-US" w:eastAsia="en-U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;Bahnschrift Light" w:hAnsi="Vani;Bahnschrift Light" w:cs="Vani;Bahnschrift Light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ufficio</cp:lastModifiedBy>
  <cp:lastPrinted>2010-10-29T13:21:00Z</cp:lastPrinted>
  <dcterms:modified xsi:type="dcterms:W3CDTF">2021-10-28T14:08:00Z</dcterms:modified>
  <cp:revision>25</cp:revision>
  <dc:subject/>
  <dc:title>                                </dc:title>
</cp:coreProperties>
</file>