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15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15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40" w:before="0" w:after="0"/>
        <w:ind w:right="850" w:hanging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8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Distribuzione assicurativa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Antiriciclaggio e antiterrorismo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Privacy</w:t>
      </w:r>
    </w:p>
    <w:p>
      <w:pPr>
        <w:pStyle w:val="ListParagraph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tecnica assicurativa e riassicurativa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Polizze D&amp;O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Riassicurazione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Gestione del rischio nel settore assicurativo</w:t>
      </w:r>
    </w:p>
    <w:p>
      <w:pPr>
        <w:pStyle w:val="ListParagraph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Area </w:t>
      </w:r>
      <w:r>
        <w:rPr>
          <w:rFonts w:cs="Times New Roman" w:ascii="Times New Roman" w:hAnsi="Times New Roman"/>
          <w:sz w:val="24"/>
          <w:szCs w:val="24"/>
        </w:rPr>
        <w:t>amministrativa e gestionale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I principi contabili internazionali e l’incidenza sui bilanci assicurativi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Intelligenza artificiale e machine learning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informatica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387</Words>
  <Characters>2210</Characters>
  <CharactersWithSpaces>2592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2024-11-04T09:11:00Z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