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30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30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Condizioni contrattuali delle polizze vita (coperture, costi ed esclusioni), compresi i benefici garantiti e i rischi accessori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dei vantaggi e degli svantaggi delle diverse opzioni di investimento per 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dei rischi finanziari sostenuti dagli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Mercato delle assicurazioni e mercato dei prodotti di risparmio e dei servizi finanziari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Organizzazione e benefici garantiti dal sistema pensionistico dello Stato italiano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che disciplinano 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Intermediazione assicurativa e riassicurativa - condizioni di accesso e di esercizio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Regole generali di comportamento e gestione dei conflitti di interesse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Conoscenza degli standard di etica professionale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in materia di protezione e tutela del consumatore e Codice del consumo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Antiriciclaggio e contrasto al finanziamento del terrorismo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Psd 2 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tributarie, sociali e del lavoro pertinenti alla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Normativa in materia di protezione dei dati personali 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Principali tipologie di coperture assicurative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Elementi di tecniche di analisi dei rischi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Trattamento fiscale dei vari tipi di polizze vita e prodotti pensionistici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Ciclo operativo ed economico delle imprese di assicurazione e riassicurazione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Programmazione, analisi e controllo di gestione dell’intermediario assicurativo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Gestione dei sinistri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Gestione dei rapporti con il cliente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Capacità di ascoltare e decodificare i bisogni della clientela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Strumenti di Office Automation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Navigazione web e utilizzo di internet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/>
      </w:pPr>
      <w:r>
        <w:rPr>
          <w:sz w:val="22"/>
          <w:szCs w:val="28"/>
          <w:lang w:val="en-US" w:eastAsia="en-US"/>
        </w:rPr>
        <w:t>Sicurezza informatica e protezione dei dati (durata 6h)</w:t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  <w:sz w:val="22"/>
      <w:szCs w:val="28"/>
      <w:lang w:val="en-US"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lang w:val="en-US" w:eastAsia="en-US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Employee</cp:lastModifiedBy>
  <cp:lastPrinted>2010-10-29T13:21:00Z</cp:lastPrinted>
  <dcterms:modified xsi:type="dcterms:W3CDTF">2019-07-16T10:41:00Z</dcterms:modified>
  <cp:revision>13</cp:revision>
  <dc:subject/>
  <dc:title>                                </dc:title>
</cp:coreProperties>
</file>