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wmf" ContentType="image/x-wmf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/>
      </w:pPr>
      <w:bookmarkStart w:id="0" w:name="OLE_LINK3"/>
      <w:bookmarkStart w:id="1" w:name="OLE_LINK2"/>
      <w:bookmarkStart w:id="2" w:name="OLE_LINK1"/>
      <w:r>
        <w:rPr>
          <w:i/>
          <w:sz w:val="72"/>
          <w:szCs w:val="72"/>
          <w:lang w:val="en-US" w:eastAsia="en-US"/>
        </w:rPr>
        <w:t>Firstname Lastname</w:t>
      </w:r>
      <w:bookmarkEnd w:id="0"/>
      <w:bookmarkEnd w:id="1"/>
      <w:bookmarkEnd w:id="2"/>
    </w:p>
    <w:p>
      <w:pPr>
        <w:pStyle w:val="Normal"/>
        <w:ind w:left="-539" w:right="-57" w:hanging="0"/>
        <w:jc w:val="center"/>
        <w:rPr>
          <w:i/>
          <w:i/>
          <w:sz w:val="20"/>
          <w:szCs w:val="72"/>
          <w:lang w:val="en-US" w:eastAsia="en-US"/>
        </w:rPr>
      </w:pPr>
      <w:r>
        <w:rPr>
          <w:i/>
          <w:sz w:val="20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20"/>
          <w:lang w:val="en-US" w:eastAsia="en-US"/>
        </w:rPr>
      </w:pPr>
      <w:r>
        <w:rPr>
          <w:i/>
          <w:sz w:val="52"/>
          <w:szCs w:val="52"/>
          <w:lang w:val="en-US" w:eastAsia="en-US"/>
        </w:rPr>
        <w:t>username: idst</w:t>
      </w:r>
    </w:p>
    <w:p>
      <w:pPr>
        <w:pStyle w:val="Normal"/>
        <w:ind w:left="-539" w:right="-57" w:hanging="0"/>
        <w:jc w:val="center"/>
        <w:rPr>
          <w:i/>
          <w:i/>
          <w:sz w:val="28"/>
          <w:lang w:val="en-US" w:eastAsia="en-US"/>
        </w:rPr>
      </w:pPr>
      <w:r>
        <w:rPr>
          <w:i/>
          <w:sz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completato con esito positivo il</w:t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rFonts w:ascii="Verdana" w:hAnsi="Verdana" w:cs="Verdana"/>
          <w:b/>
          <w:b/>
          <w:bCs/>
          <w:sz w:val="40"/>
          <w:szCs w:val="40"/>
        </w:rPr>
      </w:pPr>
      <w:r>
        <w:rPr>
          <w:rFonts w:cs="Verdana" w:ascii="Verdana" w:hAnsi="Verdana"/>
          <w:b/>
          <w:bCs/>
          <w:sz w:val="40"/>
          <w:szCs w:val="40"/>
        </w:rPr>
        <w:t>CORSO DI AGGIORNAMENTO PROFESSIONALE ANNUALE OBBLIGATORIO IVASS</w:t>
      </w:r>
    </w:p>
    <w:p>
      <w:pPr>
        <w:pStyle w:val="Normal"/>
        <w:ind w:left="-539" w:right="-57" w:hanging="0"/>
        <w:jc w:val="center"/>
        <w:rPr>
          <w:rFonts w:ascii="Verdana" w:hAnsi="Verdana" w:cs="Verdana"/>
          <w:sz w:val="40"/>
          <w:szCs w:val="40"/>
        </w:rPr>
      </w:pPr>
      <w:r>
        <w:rPr>
          <w:rFonts w:cs="Verdana" w:ascii="Verdana" w:hAnsi="Verdana"/>
          <w:sz w:val="40"/>
          <w:szCs w:val="40"/>
        </w:rPr>
        <w:t>ai sensi del Regolamento IVASS n. 40/2018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18"/>
          <w:szCs w:val="18"/>
          <w:lang w:val="en-US" w:eastAsia="en-US"/>
        </w:rPr>
      </w:pPr>
      <w:r>
        <w:rPr>
          <w:rFonts w:cs="Verdana" w:ascii="Verdana" w:hAnsi="Verdana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a cura dell’</w:t>
      </w:r>
      <w:r>
        <w:rPr>
          <w:b/>
          <w:i/>
          <w:sz w:val="28"/>
          <w:szCs w:val="28"/>
          <w:lang w:val="en-US" w:eastAsia="en-US"/>
        </w:rPr>
        <w:t>Avv. Giuseppe Russo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</w:rPr>
        <w:t xml:space="preserve">Ore di docenza impartite: </w:t>
      </w:r>
      <w:r>
        <w:rPr/>
        <w:t>30 ore in modalità di e-learning</w:t>
      </w:r>
    </w:p>
    <w:p>
      <w:pPr>
        <w:pStyle w:val="Normal"/>
        <w:ind w:right="425" w:hanging="0"/>
        <w:rPr/>
      </w:pPr>
      <w:r>
        <w:rPr/>
      </w:r>
    </w:p>
    <w:p>
      <w:pPr>
        <w:pStyle w:val="Normal"/>
        <w:ind w:right="425" w:hanging="0"/>
        <w:jc w:val="both"/>
        <w:rPr>
          <w:i/>
          <w:i/>
          <w:lang w:val="en-US" w:eastAsia="en-US"/>
        </w:rPr>
      </w:pPr>
      <w:r>
        <w:rPr>
          <w:b/>
          <w:lang w:val="en-US" w:eastAsia="en-US"/>
        </w:rPr>
        <w:t xml:space="preserve">Aree tematiche trattate </w:t>
      </w:r>
      <w:r>
        <w:rPr>
          <w:i/>
          <w:lang w:val="en-US" w:eastAsia="en-US"/>
        </w:rPr>
        <w:t>aggiornate al D.Lgs. n. 74 del 2015, alla Direttiva 2016/97/UE (IDD), al Regolamento UE 2016/679 (GDPR), al Provvedimento n. 58 del 2017 e al Regolamento IVASS n. 40 del 2018</w:t>
      </w:r>
      <w:r>
        <w:rPr>
          <w:lang w:val="en-US" w:eastAsia="en-US"/>
        </w:rPr>
        <w:t>: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-179" w:leader="none"/>
        </w:tabs>
        <w:ind w:left="709" w:right="425" w:hanging="425"/>
        <w:jc w:val="both"/>
        <w:rPr/>
      </w:pPr>
      <w:r>
        <w:rPr>
          <w:lang w:val="en-US" w:eastAsia="en-US"/>
        </w:rPr>
        <w:t xml:space="preserve">Area contrattuale e prodotti. 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Area giuridica.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Area tecnica assicurativa e riassicurativa.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-179" w:leader="none"/>
        </w:tabs>
        <w:ind w:left="284" w:right="425" w:hanging="0"/>
        <w:jc w:val="both"/>
        <w:rPr/>
      </w:pPr>
      <w:r>
        <w:rPr>
          <w:lang w:val="en-US" w:eastAsia="en-US"/>
        </w:rPr>
        <w:t xml:space="preserve">Area amministrativa e gestionale. 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709" w:leader="none"/>
        </w:tabs>
        <w:ind w:left="669" w:right="425" w:hanging="360"/>
        <w:jc w:val="both"/>
        <w:rPr>
          <w:lang w:val="en-US" w:eastAsia="en-US"/>
        </w:rPr>
      </w:pPr>
      <w:r>
        <w:rPr>
          <w:lang w:val="en-US" w:eastAsia="en-US"/>
        </w:rPr>
        <w:t>Area informatica.</w:t>
      </w:r>
    </w:p>
    <w:p>
      <w:pPr>
        <w:pStyle w:val="Normal"/>
        <w:ind w:left="284" w:right="425" w:hanging="0"/>
        <w:jc w:val="both"/>
        <w:rPr>
          <w:sz w:val="22"/>
          <w:lang w:val="en-US" w:eastAsia="en-US"/>
        </w:rPr>
      </w:pPr>
      <w:r>
        <w:rPr>
          <w:sz w:val="22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  <w:bCs/>
        </w:rPr>
        <w:t xml:space="preserve">Esito del test di verifica delle conoscenze acquisite: </w:t>
      </w:r>
      <w:r>
        <w:rPr/>
        <w:t>Positivo</w:t>
      </w:r>
    </w:p>
    <w:p>
      <w:pPr>
        <w:pStyle w:val="Normal"/>
        <w:ind w:left="-539" w:right="425" w:firstLine="539"/>
        <w:rPr/>
      </w:pPr>
      <w:r>
        <w:rPr/>
      </w:r>
    </w:p>
    <w:p>
      <w:pPr>
        <w:pStyle w:val="Normal"/>
        <w:ind w:right="425" w:hanging="0"/>
        <w:rPr>
          <w:lang w:val="en-US" w:eastAsia="en-US"/>
        </w:rPr>
      </w:pPr>
      <w:r>
        <w:rPr>
          <w:b/>
          <w:lang w:val="en-US" w:eastAsia="en-US"/>
        </w:rPr>
        <w:t xml:space="preserve">Coordinatore scientifico dei conteuti del corso: </w:t>
      </w:r>
      <w:r>
        <w:rPr>
          <w:lang w:val="en-US" w:eastAsia="en-US"/>
        </w:rPr>
        <w:t>Prof. Avv. Giuseppe Russo</w:t>
      </w:r>
    </w:p>
    <w:p>
      <w:pPr>
        <w:pStyle w:val="Normal"/>
        <w:ind w:left="-539" w:right="425" w:firstLine="539"/>
        <w:rPr/>
      </w:pPr>
      <w:r>
        <w:rPr>
          <w:b/>
          <w:lang w:val="en-US" w:eastAsia="en-US"/>
        </w:rPr>
        <w:t>Docente:</w:t>
      </w:r>
      <w:r>
        <w:rPr>
          <w:lang w:val="en-US" w:eastAsia="en-US"/>
        </w:rPr>
        <w:t xml:space="preserve"> Avv. C. Gugliotta </w:t>
      </w:r>
    </w:p>
    <w:p>
      <w:pPr>
        <w:pStyle w:val="Normal"/>
        <w:ind w:right="425" w:hanging="0"/>
        <w:rPr/>
      </w:pPr>
      <w:r>
        <w:rPr>
          <w:i/>
          <w:sz w:val="22"/>
          <w:szCs w:val="28"/>
          <w:lang w:val="en-US" w:eastAsia="en-US"/>
        </w:rPr>
        <w:t>Il Coordinatore Scientifico e la docente hanno maturato una comprovata esperienza oltre che quinquennale nelle materie di cui alla lettera a) comma 3 art. 96 del Regolamento IVASS n. 40/2018</w:t>
      </w:r>
    </w:p>
    <w:p>
      <w:pPr>
        <w:pStyle w:val="Normal"/>
        <w:ind w:left="-539" w:right="425" w:firstLine="539"/>
        <w:rPr>
          <w:sz w:val="28"/>
        </w:rPr>
      </w:pPr>
      <w:r>
        <w:rPr>
          <w:sz w:val="28"/>
        </w:rPr>
      </w:r>
    </w:p>
    <w:p>
      <w:pPr>
        <w:pStyle w:val="Normal"/>
        <w:ind w:left="-539" w:right="425" w:firstLine="539"/>
        <w:rPr>
          <w:sz w:val="28"/>
        </w:rPr>
      </w:pPr>
      <w:r>
        <w:rPr>
          <w:sz w:val="28"/>
        </w:rPr>
      </w:r>
    </w:p>
    <w:p>
      <w:pPr>
        <w:pStyle w:val="Normal"/>
        <w:ind w:left="-539" w:right="425" w:firstLine="539"/>
        <w:rPr>
          <w:sz w:val="28"/>
        </w:rPr>
      </w:pPr>
      <w:r>
        <w:rPr>
          <w:sz w:val="28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  <w:t>Roma, lì DATECERT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6">
            <wp:simplePos x="0" y="0"/>
            <wp:positionH relativeFrom="column">
              <wp:posOffset>4135120</wp:posOffset>
            </wp:positionH>
            <wp:positionV relativeFrom="paragraph">
              <wp:posOffset>163195</wp:posOffset>
            </wp:positionV>
            <wp:extent cx="2691765" cy="66611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76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8"/>
          <w:szCs w:val="28"/>
          <w:lang w:val="en-US" w:eastAsia="en-US"/>
        </w:rPr>
        <w:t>F</w:t>
      </w:r>
      <w:r>
        <w:rPr>
          <w:b/>
          <w:i/>
          <w:sz w:val="28"/>
          <w:szCs w:val="28"/>
          <w:lang w:val="en-US" w:eastAsia="en-US"/>
        </w:rPr>
        <w:t>irma del Partecipante</w:t>
        <w:tab/>
        <w:tab/>
        <w:tab/>
        <w:tab/>
        <w:tab/>
        <w:tab/>
        <w:tab/>
        <w:t>Firma del Responsabile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</w:r>
    </w:p>
    <w:p>
      <w:pPr>
        <w:pStyle w:val="Normal"/>
        <w:ind w:right="283" w:hanging="0"/>
        <w:jc w:val="center"/>
        <w:rPr>
          <w:b/>
          <w:b/>
          <w:i/>
          <w:i/>
          <w:sz w:val="28"/>
          <w:szCs w:val="40"/>
          <w:u w:val="single"/>
          <w:lang w:val="en-US" w:eastAsia="en-US"/>
        </w:rPr>
      </w:pPr>
      <w:r>
        <w:rPr>
          <w:b/>
          <w:i/>
          <w:sz w:val="28"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Cs w:val="40"/>
          <w:u w:val="single"/>
          <w:lang w:val="en-US" w:eastAsia="en-US"/>
        </w:rPr>
      </w:pPr>
      <w:r>
        <w:rPr>
          <w:b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Verbale delle procedure del test di verifica</w:t>
      </w:r>
    </w:p>
    <w:p>
      <w:pPr>
        <w:pStyle w:val="Normal"/>
        <w:ind w:right="283" w:hanging="0"/>
        <w:rPr>
          <w:lang w:val="en-US" w:eastAsia="en-US"/>
        </w:rPr>
      </w:pPr>
      <w:r>
        <w:rPr>
          <w:lang w:val="en-US" w:eastAsia="en-US"/>
        </w:rPr>
        <w:t xml:space="preserve">                     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 xml:space="preserve">Il giorno [DATECOMPLETE] alle ore [ORA] il candidato </w:t>
      </w:r>
      <w:bookmarkStart w:id="3" w:name="OLE_LINK5"/>
      <w:bookmarkStart w:id="4" w:name="OLE_LINK4"/>
      <w:r>
        <w:rPr>
          <w:sz w:val="26"/>
          <w:szCs w:val="26"/>
          <w:lang w:val="en-US" w:eastAsia="en-US"/>
        </w:rPr>
        <w:t>Firstname Lastname</w:t>
      </w:r>
      <w:r>
        <w:rPr>
          <w:sz w:val="26"/>
          <w:szCs w:val="26"/>
        </w:rPr>
        <w:t xml:space="preserve"> </w:t>
      </w:r>
      <w:bookmarkEnd w:id="3"/>
      <w:bookmarkEnd w:id="4"/>
      <w:r>
        <w:rPr>
          <w:sz w:val="26"/>
          <w:szCs w:val="20"/>
        </w:rPr>
        <w:t xml:space="preserve">CF [CF], frequentate le 30 ore di aggiornamento con modalità di e-learning sulla piattaforma didattica di R&amp;B Consulting Srl, ha svolto il test di verifica finale relativo al corso di aggiornamento ai fini IVASS. </w:t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>Il corso fornito da R&amp;B Consulting Srl, con sede legale in via Crescenzio, 25 - 00193 Roma (RM), PI 05744121210, è rispondente ai dettati normativi contenuti nel Regolamento IVASS n. 40/2018.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  <w:t xml:space="preserve">Il test di verifica, somministrato in modalità e-learning, è articolato in un questionario a scelta multipla e risposta singola. </w:t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>Il candidato ha superato il test con votazione [VOTO] e la Segreteria Didattica di R&amp;B Consulting ha provveduto a rilasciare l’attestato in formato digitale ai sensi dell’art. 90 del Regolamento IVASS n. 40/2018.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7">
            <wp:simplePos x="0" y="0"/>
            <wp:positionH relativeFrom="column">
              <wp:posOffset>3360420</wp:posOffset>
            </wp:positionH>
            <wp:positionV relativeFrom="paragraph">
              <wp:posOffset>102870</wp:posOffset>
            </wp:positionV>
            <wp:extent cx="3012440" cy="776605"/>
            <wp:effectExtent l="0" t="0" r="0" b="0"/>
            <wp:wrapNone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0"/>
        </w:rPr>
        <w:t>L</w:t>
      </w:r>
      <w:r>
        <w:rPr>
          <w:sz w:val="26"/>
          <w:szCs w:val="20"/>
        </w:rPr>
        <w:t>ì [TODAY], Roma</w:t>
      </w:r>
      <w:r>
        <w:rPr>
          <w:b/>
          <w:i/>
          <w:sz w:val="28"/>
          <w:szCs w:val="28"/>
          <w:lang w:val="en-US" w:eastAsia="en-US"/>
        </w:rPr>
        <w:tab/>
        <w:tab/>
        <w:tab/>
        <w:tab/>
        <w:t xml:space="preserve">                        </w:t>
      </w:r>
      <w:r>
        <w:rPr>
          <w:i/>
          <w:sz w:val="28"/>
          <w:szCs w:val="28"/>
          <w:lang w:val="en-US" w:eastAsia="en-US"/>
        </w:rPr>
        <w:t>Giuseppe Russo</w:t>
      </w:r>
      <w:r>
        <w:rPr>
          <w:b/>
          <w:i/>
          <w:sz w:val="28"/>
          <w:szCs w:val="28"/>
          <w:lang w:val="en-US" w:eastAsia="en-US"/>
        </w:rPr>
        <w:tab/>
        <w:tab/>
        <w:tab/>
        <w:tab/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i/>
          <w:i/>
          <w:sz w:val="28"/>
          <w:szCs w:val="40"/>
          <w:u w:val="single"/>
          <w:lang w:val="en-US" w:eastAsia="en-US"/>
        </w:rPr>
      </w:pPr>
      <w:r>
        <w:rPr>
          <w:b/>
          <w:i/>
          <w:sz w:val="28"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Cs w:val="40"/>
          <w:u w:val="single"/>
          <w:lang w:val="en-US" w:eastAsia="en-US"/>
        </w:rPr>
      </w:pPr>
      <w:r>
        <w:rPr>
          <w:b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Programma del corso</w:t>
      </w:r>
    </w:p>
    <w:p>
      <w:pPr>
        <w:pStyle w:val="Normal"/>
        <w:spacing w:lineRule="auto" w:line="276"/>
        <w:ind w:right="283" w:hanging="0"/>
        <w:jc w:val="center"/>
        <w:rPr/>
      </w:pPr>
      <w:r>
        <w:rPr>
          <w:i/>
          <w:szCs w:val="26"/>
          <w:lang w:val="en-US" w:eastAsia="en-US"/>
        </w:rPr>
        <w:t xml:space="preserve">*Corso aggiornato al D.Lgs. n. 74 del 2015, alla Direttiva 2016/97/UE (IDD),  </w:t>
      </w:r>
    </w:p>
    <w:p>
      <w:pPr>
        <w:pStyle w:val="Normal"/>
        <w:spacing w:lineRule="auto" w:line="276"/>
        <w:ind w:right="283" w:hanging="0"/>
        <w:jc w:val="center"/>
        <w:rPr>
          <w:i/>
          <w:i/>
          <w:szCs w:val="26"/>
          <w:lang w:val="en-US" w:eastAsia="en-US"/>
        </w:rPr>
      </w:pPr>
      <w:r>
        <w:rPr>
          <w:i/>
          <w:szCs w:val="26"/>
          <w:lang w:val="en-US" w:eastAsia="en-US"/>
        </w:rPr>
        <w:t xml:space="preserve">al Regolamento UE 2016/679 (GDPR), al Provvedimento n. 58 del 2017 e </w:t>
      </w:r>
    </w:p>
    <w:p>
      <w:pPr>
        <w:pStyle w:val="Normal"/>
        <w:spacing w:lineRule="auto" w:line="276"/>
        <w:ind w:right="283" w:hanging="0"/>
        <w:jc w:val="center"/>
        <w:rPr>
          <w:i/>
          <w:i/>
          <w:szCs w:val="26"/>
          <w:lang w:val="en-US" w:eastAsia="en-US"/>
        </w:rPr>
      </w:pPr>
      <w:r>
        <w:rPr>
          <w:i/>
          <w:szCs w:val="26"/>
          <w:lang w:val="en-US" w:eastAsia="en-US"/>
        </w:rPr>
        <w:t>al Regolamento IVASS n. 40 del 2018</w:t>
      </w:r>
    </w:p>
    <w:p>
      <w:pPr>
        <w:pStyle w:val="Normal"/>
        <w:spacing w:lineRule="auto" w:line="276"/>
        <w:ind w:right="283" w:hanging="0"/>
        <w:rPr>
          <w:sz w:val="28"/>
          <w:szCs w:val="28"/>
          <w:lang w:val="en-US" w:eastAsia="en-US"/>
        </w:rPr>
      </w:pPr>
      <w:r>
        <w:rPr>
          <w:sz w:val="28"/>
          <w:szCs w:val="28"/>
          <w:lang w:val="en-US" w:eastAsia="en-US"/>
        </w:rPr>
        <w:t xml:space="preserve"> </w:t>
      </w:r>
    </w:p>
    <w:p>
      <w:pPr>
        <w:pStyle w:val="Normal"/>
        <w:spacing w:lineRule="auto" w:line="276"/>
        <w:ind w:right="283" w:hanging="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1. Area contrattuale e prodotti </w:t>
      </w:r>
    </w:p>
    <w:p>
      <w:pPr>
        <w:pStyle w:val="Normal"/>
        <w:numPr>
          <w:ilvl w:val="0"/>
          <w:numId w:val="2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Solvency II </w:t>
      </w:r>
    </w:p>
    <w:p>
      <w:pPr>
        <w:pStyle w:val="Normal"/>
        <w:numPr>
          <w:ilvl w:val="0"/>
          <w:numId w:val="2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>Condizioni contrattuali delle polizze danni (coperture, costi ed esclusioni), compresi i rischi accessori coperti con tali polizze</w:t>
      </w:r>
    </w:p>
    <w:p>
      <w:pPr>
        <w:pStyle w:val="Normal"/>
        <w:numPr>
          <w:ilvl w:val="0"/>
          <w:numId w:val="2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Valutazione delle esigenze dei consumatori </w:t>
      </w:r>
    </w:p>
    <w:p>
      <w:pPr>
        <w:pStyle w:val="Normal"/>
        <w:spacing w:lineRule="auto" w:line="276"/>
        <w:ind w:right="283" w:hanging="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</w:r>
    </w:p>
    <w:p>
      <w:pPr>
        <w:pStyle w:val="Normal"/>
        <w:spacing w:lineRule="auto" w:line="276"/>
        <w:ind w:right="283" w:hanging="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2. Area giuridica 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Norme che disciplinano la distribuzione dei prodotti assicurativi 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Intermediazione assicurativa e riassicurativa - condizioni di accesso e di esercizio 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Regole generali di comportamento e gestione dei conflitti di interesse 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>Controlli sull’impresa di assicurazione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>Vigilanza sulle imprese e sugli intermediari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>Sanzioni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>Conoscenza degli standard di etica professionale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/>
      </w:pPr>
      <w:r>
        <w:rPr>
          <w:sz w:val="22"/>
          <w:szCs w:val="28"/>
          <w:lang w:val="en-US" w:eastAsia="en-US"/>
        </w:rPr>
        <w:t>Norme in materia di protezione e tutela del consumatore e Codice del consumo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>Antiriciclaggio e contrasto al finanziamento del terrorismo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>Psd 2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/>
      </w:pPr>
      <w:r>
        <w:rPr>
          <w:sz w:val="22"/>
          <w:szCs w:val="28"/>
          <w:lang w:val="en-US" w:eastAsia="en-US"/>
        </w:rPr>
        <w:t>Norme tributarie, sociali e del lavoro pertinenti alla distribuzione dei prodotti assicurativi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>Normativa in materia di protezione dei dati personali</w:t>
      </w:r>
    </w:p>
    <w:p>
      <w:pPr>
        <w:pStyle w:val="Normal"/>
        <w:spacing w:lineRule="auto" w:line="276"/>
        <w:ind w:left="720" w:right="283" w:hanging="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  </w:t>
      </w:r>
    </w:p>
    <w:p>
      <w:pPr>
        <w:pStyle w:val="Normal"/>
        <w:spacing w:lineRule="auto" w:line="276"/>
        <w:ind w:right="283" w:hanging="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3. Area tecnica assicurativa e riassicurativa </w:t>
      </w:r>
    </w:p>
    <w:p>
      <w:pPr>
        <w:pStyle w:val="Normal"/>
        <w:numPr>
          <w:ilvl w:val="0"/>
          <w:numId w:val="3"/>
        </w:numPr>
        <w:spacing w:lineRule="auto" w:line="276"/>
        <w:ind w:left="78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Principali tipologie di coperture assicurative </w:t>
      </w:r>
    </w:p>
    <w:p>
      <w:pPr>
        <w:pStyle w:val="Normal"/>
        <w:numPr>
          <w:ilvl w:val="0"/>
          <w:numId w:val="3"/>
        </w:numPr>
        <w:spacing w:lineRule="auto" w:line="276"/>
        <w:ind w:left="78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Elementi di tecniche di analisi dei rischi </w:t>
      </w:r>
    </w:p>
    <w:p>
      <w:pPr>
        <w:pStyle w:val="Normal"/>
        <w:spacing w:lineRule="auto" w:line="276"/>
        <w:ind w:right="283" w:hanging="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</w:r>
    </w:p>
    <w:p>
      <w:pPr>
        <w:pStyle w:val="Normal"/>
        <w:spacing w:lineRule="auto" w:line="276"/>
        <w:ind w:right="283" w:hanging="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4. Area amministrativa e gestionale </w:t>
      </w:r>
    </w:p>
    <w:p>
      <w:pPr>
        <w:pStyle w:val="Normal"/>
        <w:numPr>
          <w:ilvl w:val="0"/>
          <w:numId w:val="4"/>
        </w:numPr>
        <w:spacing w:lineRule="auto" w:line="276"/>
        <w:ind w:left="78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Ciclo operativo ed economico delle imprese di assicurazione e riassicurazione </w:t>
      </w:r>
    </w:p>
    <w:p>
      <w:pPr>
        <w:pStyle w:val="Normal"/>
        <w:numPr>
          <w:ilvl w:val="0"/>
          <w:numId w:val="4"/>
        </w:numPr>
        <w:spacing w:lineRule="auto" w:line="276"/>
        <w:ind w:left="780" w:right="283" w:hanging="360"/>
        <w:rPr>
          <w:sz w:val="22"/>
          <w:szCs w:val="28"/>
          <w:lang w:val="en-US" w:eastAsia="en-US"/>
        </w:rPr>
      </w:pPr>
      <w:r>
        <w:rPr/>
        <w:t>Elementi di contabilità</w:t>
      </w:r>
    </w:p>
    <w:p>
      <w:pPr>
        <w:pStyle w:val="Normal"/>
        <w:numPr>
          <w:ilvl w:val="0"/>
          <w:numId w:val="4"/>
        </w:numPr>
        <w:spacing w:lineRule="auto" w:line="276"/>
        <w:ind w:left="780" w:right="283" w:hanging="360"/>
        <w:rPr>
          <w:sz w:val="22"/>
          <w:szCs w:val="28"/>
          <w:lang w:val="en-US" w:eastAsia="en-US"/>
        </w:rPr>
      </w:pPr>
      <w:r>
        <w:rPr/>
        <w:t>Procedure e modalità assuntive e distributive adottate dall’impresa con cui l’intermediario opera</w:t>
      </w:r>
    </w:p>
    <w:p>
      <w:pPr>
        <w:pStyle w:val="Normal"/>
        <w:numPr>
          <w:ilvl w:val="0"/>
          <w:numId w:val="4"/>
        </w:numPr>
        <w:spacing w:lineRule="auto" w:line="276"/>
        <w:ind w:left="78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Programmazione, analisi e controllo di gestione dell’intermediario assicurativo </w:t>
      </w:r>
    </w:p>
    <w:p>
      <w:pPr>
        <w:pStyle w:val="Normal"/>
        <w:numPr>
          <w:ilvl w:val="0"/>
          <w:numId w:val="4"/>
        </w:numPr>
        <w:spacing w:lineRule="auto" w:line="276"/>
        <w:ind w:left="78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Gestione dei rapporti con il cliente </w:t>
      </w:r>
    </w:p>
    <w:p>
      <w:pPr>
        <w:pStyle w:val="Normal"/>
        <w:numPr>
          <w:ilvl w:val="0"/>
          <w:numId w:val="4"/>
        </w:numPr>
        <w:spacing w:lineRule="auto" w:line="276"/>
        <w:ind w:left="780" w:right="283" w:hanging="360"/>
        <w:rPr>
          <w:sz w:val="22"/>
          <w:szCs w:val="28"/>
          <w:lang w:val="en-US" w:eastAsia="en-US"/>
        </w:rPr>
      </w:pPr>
      <w:r>
        <w:rPr/>
        <w:t>Marketing e tecniche di comunicazione</w:t>
      </w:r>
    </w:p>
    <w:p>
      <w:pPr>
        <w:pStyle w:val="Normal"/>
        <w:numPr>
          <w:ilvl w:val="0"/>
          <w:numId w:val="4"/>
        </w:numPr>
        <w:spacing w:lineRule="auto" w:line="276"/>
        <w:ind w:left="78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Capacità di ascoltare e decodificare i bisogni della clientela </w:t>
      </w:r>
    </w:p>
    <w:p>
      <w:pPr>
        <w:pStyle w:val="Normal"/>
        <w:spacing w:lineRule="auto" w:line="276"/>
        <w:ind w:right="283" w:hanging="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 </w:t>
      </w:r>
    </w:p>
    <w:p>
      <w:pPr>
        <w:pStyle w:val="Normal"/>
        <w:spacing w:lineRule="auto" w:line="276"/>
        <w:ind w:right="283" w:hanging="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5. Area informatica </w:t>
      </w:r>
    </w:p>
    <w:p>
      <w:pPr>
        <w:pStyle w:val="Normal"/>
        <w:numPr>
          <w:ilvl w:val="0"/>
          <w:numId w:val="4"/>
        </w:numPr>
        <w:spacing w:lineRule="auto" w:line="276"/>
        <w:ind w:left="78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Strumenti di Office Automation </w:t>
      </w:r>
    </w:p>
    <w:p>
      <w:pPr>
        <w:pStyle w:val="Normal"/>
        <w:numPr>
          <w:ilvl w:val="0"/>
          <w:numId w:val="4"/>
        </w:numPr>
        <w:spacing w:lineRule="auto" w:line="276"/>
        <w:ind w:left="78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Navigazione web e utilizzo di internet </w:t>
      </w:r>
    </w:p>
    <w:p>
      <w:pPr>
        <w:pStyle w:val="Normal"/>
        <w:numPr>
          <w:ilvl w:val="0"/>
          <w:numId w:val="4"/>
        </w:numPr>
        <w:spacing w:lineRule="auto" w:line="276"/>
        <w:rPr>
          <w:sz w:val="22"/>
          <w:szCs w:val="28"/>
          <w:lang w:val="en-US" w:eastAsia="en-US"/>
        </w:rPr>
      </w:pPr>
      <w:r>
        <w:rPr/>
        <w:t>Applicazioni/procedure e altre tecnologie predisposte dall’impresa/e con cui l’intermediario opera</w:t>
      </w:r>
    </w:p>
    <w:p>
      <w:pPr>
        <w:pStyle w:val="Normal"/>
        <w:numPr>
          <w:ilvl w:val="0"/>
          <w:numId w:val="4"/>
        </w:numPr>
        <w:spacing w:lineRule="auto" w:line="276"/>
        <w:ind w:left="780" w:right="283" w:hanging="360"/>
        <w:rPr/>
      </w:pPr>
      <w:r>
        <w:rPr>
          <w:sz w:val="22"/>
          <w:szCs w:val="28"/>
          <w:lang w:val="en-US" w:eastAsia="en-US"/>
        </w:rPr>
        <w:t>Sicurezza informatica e protezione dei dati (durata 6h)</w:t>
      </w:r>
    </w:p>
    <w:sectPr>
      <w:headerReference w:type="default" r:id="rId4"/>
      <w:footerReference w:type="default" r:id="rId5"/>
      <w:type w:val="nextPage"/>
      <w:pgSz w:w="11906" w:h="16838"/>
      <w:pgMar w:left="1134" w:right="566" w:header="708" w:top="993" w:footer="143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b/>
        <w:b/>
        <w:i/>
        <w:i/>
        <w:lang w:val="en-US"/>
      </w:rPr>
    </w:pPr>
    <w:r>
      <w:rPr>
        <w:b/>
        <w:i/>
        <w:lang w:val="en-US"/>
      </w:rPr>
      <w:t>R&amp;B Consulting S.r.l.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[sedelegale]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P.I.: 05744121210 - Numero REA: RM 1289708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Ente con certificazione di qualità UNI EN ISO 9001:2008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drawing>
        <wp:inline distT="0" distB="0" distL="0" distR="0">
          <wp:extent cx="5771515" cy="750570"/>
          <wp:effectExtent l="0" t="0" r="0" b="0"/>
          <wp:docPr id="3" name="Image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7" r="-7" b="-17"/>
                  <a:stretch>
                    <a:fillRect/>
                  </a:stretch>
                </pic:blipFill>
                <pic:spPr bwMode="auto">
                  <a:xfrm>
                    <a:off x="0" y="0"/>
                    <a:ext cx="5771515" cy="7505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39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>
    <w:lvl w:ilvl="0">
      <w:start w:val="139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3">
    <w:lvl w:ilvl="0">
      <w:start w:val="139"/>
      <w:numFmt w:val="bullet"/>
      <w:lvlText w:val="-"/>
      <w:lvlJc w:val="left"/>
      <w:pPr>
        <w:tabs>
          <w:tab w:val="num" w:pos="0"/>
        </w:tabs>
        <w:ind w:left="780" w:hanging="360"/>
      </w:pPr>
      <w:rPr>
        <w:rFonts w:ascii="Times New Roman" w:hAnsi="Times New Roman" w:cs="Times New Roman" w:hint="default"/>
      </w:rPr>
    </w:lvl>
  </w:abstractNum>
  <w:abstractNum w:abstractNumId="4">
    <w:lvl w:ilvl="0">
      <w:start w:val="139"/>
      <w:numFmt w:val="bullet"/>
      <w:lvlText w:val="-"/>
      <w:lvlJc w:val="left"/>
      <w:pPr>
        <w:tabs>
          <w:tab w:val="num" w:pos="0"/>
        </w:tabs>
        <w:ind w:left="780" w:hanging="360"/>
      </w:pPr>
      <w:rPr>
        <w:rFonts w:ascii="Times New Roman" w:hAnsi="Times New Roman" w:cs="Times New Roman" w:hint="default"/>
      </w:rPr>
    </w:lvl>
  </w:abstractNum>
  <w:abstractNum w:abstractNumId="5">
    <w:lvl w:ilvl="0">
      <w:start w:val="1"/>
      <w:numFmt w:val="lowerLetter"/>
      <w:lvlText w:val="%1)"/>
      <w:lvlJc w:val="left"/>
      <w:pPr>
        <w:tabs>
          <w:tab w:val="num" w:pos="669"/>
        </w:tabs>
        <w:ind w:left="669" w:hanging="360"/>
      </w:pPr>
      <w:rPr>
        <w:lang w:val="en-US" w:eastAsia="en-US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>
      <w:rFonts w:ascii="Times New Roman" w:hAnsi="Times New Roman" w:eastAsia="Calibri" w:cs="Times New Roman"/>
      <w:sz w:val="22"/>
      <w:szCs w:val="28"/>
      <w:lang w:val="en-US" w:eastAsia="en-US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Times New Roman" w:hAnsi="Times New Roman" w:eastAsia="Calibri" w:cs="Times New Roman"/>
      <w:sz w:val="22"/>
      <w:szCs w:val="28"/>
      <w:lang w:val="en-US" w:eastAsia="en-U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Times New Roman" w:hAnsi="Times New Roman" w:eastAsia="Times New Roman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Times New Roman" w:hAnsi="Times New Roman" w:eastAsia="Calibri" w:cs="Times New Roman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Times New Roman" w:hAnsi="Times New Roman" w:eastAsia="Calibri" w:cs="Times New Roman"/>
      <w:sz w:val="22"/>
      <w:szCs w:val="28"/>
      <w:lang w:val="en-US" w:eastAsia="en-US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lang w:val="en-US" w:eastAsia="en-US"/>
    </w:rPr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Carpredefinitoparagrafo">
    <w:name w:val="Car. predefinito paragrafo"/>
    <w:qFormat/>
    <w:rPr/>
  </w:style>
  <w:style w:type="character" w:styleId="PidipaginaCarattere">
    <w:name w:val="Piè di pagina Carattere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>
      <w:lang w:val="en-US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wm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2018-02-15T13:08:00Z</dcterms:created>
  <dc:creator>A</dc:creator>
  <dc:description/>
  <cp:keywords/>
  <dc:language>en-US</dc:language>
  <cp:lastModifiedBy>utente</cp:lastModifiedBy>
  <cp:lastPrinted>2010-10-29T13:21:00Z</cp:lastPrinted>
  <dcterms:modified xsi:type="dcterms:W3CDTF">2019-04-24T11:07:00Z</dcterms:modified>
  <cp:revision>9</cp:revision>
  <dc:subject/>
  <dc:title>                                </dc:title>
</cp:coreProperties>
</file>