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wmf" ContentType="image/x-wmf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540" w:right="-54" w:hanging="0"/>
        <w:jc w:val="center"/>
        <w:rPr>
          <w:lang w:val="en-US" w:eastAsia="en-US"/>
        </w:rPr>
      </w:pPr>
      <w:r>
        <w:rPr>
          <w:lang w:val="en-US" w:eastAsia="en-US"/>
        </w:rPr>
        <w:t xml:space="preserve">                            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Attestato di Formazione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Si certifica che</w:t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/>
      </w:pPr>
      <w:bookmarkStart w:id="0" w:name="OLE_LINK3"/>
      <w:bookmarkStart w:id="1" w:name="OLE_LINK2"/>
      <w:bookmarkStart w:id="2" w:name="OLE_LINK1"/>
      <w:r>
        <w:rPr>
          <w:i/>
          <w:sz w:val="72"/>
          <w:szCs w:val="72"/>
          <w:lang w:val="en-US" w:eastAsia="en-US"/>
        </w:rPr>
        <w:t>Firstname Lastname</w:t>
      </w:r>
      <w:bookmarkEnd w:id="0"/>
      <w:bookmarkEnd w:id="1"/>
      <w:bookmarkEnd w:id="2"/>
    </w:p>
    <w:p>
      <w:pPr>
        <w:pStyle w:val="Normal"/>
        <w:ind w:left="-539" w:right="-57" w:hanging="0"/>
        <w:jc w:val="center"/>
        <w:rPr>
          <w:i/>
          <w:i/>
          <w:sz w:val="20"/>
          <w:szCs w:val="72"/>
          <w:lang w:val="en-US" w:eastAsia="en-US"/>
        </w:rPr>
      </w:pPr>
      <w:r>
        <w:rPr>
          <w:i/>
          <w:sz w:val="20"/>
          <w:szCs w:val="72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20"/>
          <w:lang w:val="en-US" w:eastAsia="en-US"/>
        </w:rPr>
      </w:pPr>
      <w:r>
        <w:rPr>
          <w:i/>
          <w:sz w:val="52"/>
          <w:szCs w:val="52"/>
          <w:lang w:val="en-US" w:eastAsia="en-US"/>
        </w:rPr>
        <w:t>CF: idst</w:t>
      </w:r>
    </w:p>
    <w:p>
      <w:pPr>
        <w:pStyle w:val="Normal"/>
        <w:ind w:left="-539" w:right="-57" w:hanging="0"/>
        <w:jc w:val="center"/>
        <w:rPr>
          <w:i/>
          <w:i/>
          <w:sz w:val="28"/>
          <w:lang w:val="en-US" w:eastAsia="en-US"/>
        </w:rPr>
      </w:pPr>
      <w:r>
        <w:rPr>
          <w:i/>
          <w:sz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ha completato con esito positivo il</w:t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rFonts w:ascii="Verdana" w:hAnsi="Verdana" w:cs="Verdana"/>
          <w:b/>
          <w:b/>
          <w:bCs/>
          <w:sz w:val="40"/>
          <w:szCs w:val="40"/>
        </w:rPr>
      </w:pPr>
      <w:r>
        <w:rPr>
          <w:rFonts w:cs="Verdana" w:ascii="Verdana" w:hAnsi="Verdana"/>
          <w:b/>
          <w:bCs/>
          <w:sz w:val="40"/>
          <w:szCs w:val="40"/>
        </w:rPr>
        <w:t>CORSO DI AGGIORNAMENTO PROFESSIONALE ANNUALE OBBLIGATORIO IVASS</w:t>
      </w:r>
    </w:p>
    <w:p>
      <w:pPr>
        <w:pStyle w:val="Normal"/>
        <w:ind w:left="-539" w:right="-57" w:hanging="0"/>
        <w:jc w:val="center"/>
        <w:rPr>
          <w:rFonts w:ascii="Verdana" w:hAnsi="Verdana" w:cs="Verdana"/>
          <w:sz w:val="40"/>
          <w:szCs w:val="40"/>
        </w:rPr>
      </w:pPr>
      <w:r>
        <w:rPr>
          <w:rFonts w:cs="Verdana" w:ascii="Verdana" w:hAnsi="Verdana"/>
          <w:sz w:val="40"/>
          <w:szCs w:val="40"/>
        </w:rPr>
        <w:t>ai sensi del Regolamento IVASS n. 40/2018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18"/>
          <w:szCs w:val="18"/>
          <w:lang w:val="en-US" w:eastAsia="en-US"/>
        </w:rPr>
      </w:pPr>
      <w:r>
        <w:rPr>
          <w:rFonts w:cs="Verdana" w:ascii="Verdana" w:hAnsi="Verdana"/>
          <w:sz w:val="18"/>
          <w:szCs w:val="18"/>
        </w:rPr>
        <w:t>(Valido anche ai sensi della formazione obbligatoria sulla normativa antiriciclaggio prevista dalla Legge 231/07)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</w:r>
    </w:p>
    <w:p>
      <w:pPr>
        <w:pStyle w:val="Normal"/>
        <w:ind w:left="-539" w:right="425" w:firstLine="539"/>
        <w:rPr/>
      </w:pPr>
      <w:r>
        <w:rPr>
          <w:b/>
        </w:rPr>
        <w:t xml:space="preserve">Ore di docenza impartite: </w:t>
      </w:r>
      <w:r>
        <w:rPr/>
        <w:t>30 ore in modalità di e-learning</w:t>
      </w:r>
    </w:p>
    <w:p>
      <w:pPr>
        <w:pStyle w:val="Normal"/>
        <w:ind w:right="425" w:hanging="0"/>
        <w:rPr/>
      </w:pPr>
      <w:r>
        <w:rPr/>
      </w:r>
    </w:p>
    <w:p>
      <w:pPr>
        <w:pStyle w:val="Normal"/>
        <w:ind w:right="425" w:hanging="0"/>
        <w:jc w:val="both"/>
        <w:rPr>
          <w:i/>
          <w:i/>
          <w:lang w:val="en-US" w:eastAsia="en-US"/>
        </w:rPr>
      </w:pPr>
      <w:r>
        <w:rPr>
          <w:b/>
          <w:lang w:val="en-US" w:eastAsia="en-US"/>
        </w:rPr>
        <w:t xml:space="preserve">Aree tematiche trattate </w:t>
      </w:r>
      <w:r>
        <w:rPr>
          <w:i/>
          <w:lang w:val="en-US" w:eastAsia="en-US"/>
        </w:rPr>
        <w:t>aggiornate al D.Lgs. n. 74 del 2015, alla Direttiva 2016/97/UE (IDD), al Regolamento UE 2016/679 (GDPR), al Provvedimento IVASS n. 58 del 2017, al Regolamento IVASS n. 44 del 2019, al Regolamento IVASS n. 40 del 2018, al Regolamento IVASS n. 45 del 2020 e al Provvedimento IVASS n. 111 del 2021</w:t>
      </w:r>
      <w:r>
        <w:rPr>
          <w:lang w:val="en-US" w:eastAsia="en-US"/>
        </w:rPr>
        <w:t>: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-179" w:leader="none"/>
        </w:tabs>
        <w:ind w:left="709" w:right="425" w:hanging="425"/>
        <w:jc w:val="both"/>
        <w:rPr/>
      </w:pPr>
      <w:r>
        <w:rPr>
          <w:lang w:val="en-US" w:eastAsia="en-US"/>
        </w:rPr>
        <w:t xml:space="preserve">Area contrattuale e prodotti. 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-179" w:leader="none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Area giuridica.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-179" w:leader="none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Area tecnica assicurativa e riassicurativa.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-179" w:leader="none"/>
        </w:tabs>
        <w:ind w:left="284" w:right="425" w:hanging="0"/>
        <w:jc w:val="both"/>
        <w:rPr/>
      </w:pPr>
      <w:r>
        <w:rPr>
          <w:lang w:val="en-US" w:eastAsia="en-US"/>
        </w:rPr>
        <w:t xml:space="preserve">Area amministrativa e gestionale. 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709" w:leader="none"/>
        </w:tabs>
        <w:ind w:left="669" w:right="425" w:hanging="360"/>
        <w:jc w:val="both"/>
        <w:rPr>
          <w:lang w:val="en-US" w:eastAsia="en-US"/>
        </w:rPr>
      </w:pPr>
      <w:r>
        <w:rPr>
          <w:lang w:val="en-US" w:eastAsia="en-US"/>
        </w:rPr>
        <w:t>Area informatica.</w:t>
      </w:r>
    </w:p>
    <w:p>
      <w:pPr>
        <w:pStyle w:val="Normal"/>
        <w:ind w:left="284" w:right="425" w:hanging="0"/>
        <w:jc w:val="both"/>
        <w:rPr>
          <w:sz w:val="22"/>
          <w:lang w:val="en-US" w:eastAsia="en-US"/>
        </w:rPr>
      </w:pPr>
      <w:r>
        <w:rPr>
          <w:sz w:val="22"/>
          <w:lang w:val="en-US" w:eastAsia="en-US"/>
        </w:rPr>
      </w:r>
    </w:p>
    <w:p>
      <w:pPr>
        <w:pStyle w:val="Normal"/>
        <w:ind w:left="-539" w:right="425" w:firstLine="539"/>
        <w:rPr/>
      </w:pPr>
      <w:r>
        <w:rPr>
          <w:b/>
          <w:bCs/>
        </w:rPr>
        <w:t xml:space="preserve">Esito del test di verifica delle conoscenze acquisite: </w:t>
      </w:r>
      <w:r>
        <w:rPr/>
        <w:t>Positivo</w:t>
      </w:r>
    </w:p>
    <w:p>
      <w:pPr>
        <w:pStyle w:val="Normal"/>
        <w:ind w:left="-539" w:right="425" w:firstLine="539"/>
        <w:rPr/>
      </w:pPr>
      <w:r>
        <w:rPr/>
      </w:r>
    </w:p>
    <w:p>
      <w:pPr>
        <w:pStyle w:val="Normal"/>
        <w:ind w:right="425" w:hanging="0"/>
        <w:rPr>
          <w:lang w:val="en-US" w:eastAsia="en-US"/>
        </w:rPr>
      </w:pPr>
      <w:r>
        <w:rPr>
          <w:b/>
          <w:lang w:val="en-US" w:eastAsia="en-US"/>
        </w:rPr>
        <w:t xml:space="preserve">Coordinatore scientifico dei contenuti del corso: </w:t>
      </w:r>
      <w:r>
        <w:rPr>
          <w:lang w:val="en-US" w:eastAsia="en-US"/>
        </w:rPr>
        <w:t>Prof. Avv. Giuseppe Russo</w:t>
      </w:r>
    </w:p>
    <w:p>
      <w:pPr>
        <w:pStyle w:val="Normal"/>
        <w:ind w:left="-539" w:right="425" w:firstLine="539"/>
        <w:rPr/>
      </w:pPr>
      <w:r>
        <w:rPr>
          <w:b/>
          <w:lang w:val="en-US" w:eastAsia="en-US"/>
        </w:rPr>
        <w:t>Docenti:</w:t>
      </w:r>
      <w:r>
        <w:rPr>
          <w:lang w:val="en-US" w:eastAsia="en-US"/>
        </w:rPr>
        <w:t xml:space="preserve"> Avv. C. Gugliotta, Avv. Angela Sgueglia </w:t>
      </w:r>
    </w:p>
    <w:p>
      <w:pPr>
        <w:pStyle w:val="Normal"/>
        <w:ind w:right="425" w:hanging="0"/>
        <w:rPr/>
      </w:pPr>
      <w:r>
        <w:rPr>
          <w:i/>
          <w:sz w:val="22"/>
          <w:szCs w:val="28"/>
          <w:lang w:val="en-US" w:eastAsia="en-US"/>
        </w:rPr>
        <w:t>Il Coordinatore Scientifico e la docente hanno maturato una comprovata esperienza oltre che quinquennale nelle materie di cui alla lettera a) comma 3 art. 96 del Regolamento IVASS n. 40/2018</w:t>
      </w:r>
    </w:p>
    <w:p>
      <w:pPr>
        <w:pStyle w:val="Normal"/>
        <w:ind w:left="-539" w:right="425" w:firstLine="539"/>
        <w:rPr>
          <w:sz w:val="28"/>
        </w:rPr>
      </w:pPr>
      <w:r>
        <w:rPr>
          <w:sz w:val="28"/>
        </w:rPr>
      </w:r>
    </w:p>
    <w:p>
      <w:pPr>
        <w:pStyle w:val="Normal"/>
        <w:ind w:left="-539" w:right="425" w:firstLine="539"/>
        <w:rPr>
          <w:sz w:val="28"/>
        </w:rPr>
      </w:pPr>
      <w:r>
        <w:rPr>
          <w:sz w:val="28"/>
        </w:rPr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  <w:t>Roma, lì DATECERT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rPr>
          <w:b/>
          <w:b/>
          <w:i/>
          <w:i/>
          <w:sz w:val="28"/>
          <w:szCs w:val="28"/>
          <w:lang w:val="en-US" w:eastAsia="en-US"/>
        </w:rPr>
      </w:pPr>
      <w:r>
        <w:drawing>
          <wp:anchor behindDoc="1" distT="0" distB="0" distL="114935" distR="114935" simplePos="0" locked="0" layoutInCell="1" allowOverlap="1" relativeHeight="6">
            <wp:simplePos x="0" y="0"/>
            <wp:positionH relativeFrom="column">
              <wp:posOffset>4135120</wp:posOffset>
            </wp:positionH>
            <wp:positionV relativeFrom="paragraph">
              <wp:posOffset>163195</wp:posOffset>
            </wp:positionV>
            <wp:extent cx="2691765" cy="66611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765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28"/>
          <w:szCs w:val="28"/>
          <w:lang w:val="en-US" w:eastAsia="en-US"/>
        </w:rPr>
        <w:t>F</w:t>
      </w:r>
      <w:r>
        <w:rPr>
          <w:b/>
          <w:i/>
          <w:sz w:val="28"/>
          <w:szCs w:val="28"/>
          <w:lang w:val="en-US" w:eastAsia="en-US"/>
        </w:rPr>
        <w:t>irma del Partecipante</w:t>
        <w:tab/>
        <w:tab/>
        <w:tab/>
        <w:tab/>
        <w:tab/>
        <w:tab/>
        <w:tab/>
        <w:t>Firma del Responsabile</w:t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  <w:tab/>
      </w:r>
    </w:p>
    <w:p>
      <w:pPr>
        <w:pStyle w:val="Normal"/>
        <w:ind w:right="283" w:hanging="0"/>
        <w:jc w:val="center"/>
        <w:rPr>
          <w:b/>
          <w:b/>
          <w:i/>
          <w:i/>
          <w:sz w:val="28"/>
          <w:szCs w:val="40"/>
          <w:u w:val="single"/>
          <w:lang w:val="en-US" w:eastAsia="en-US"/>
        </w:rPr>
      </w:pPr>
      <w:r>
        <w:rPr>
          <w:b/>
          <w:i/>
          <w:sz w:val="28"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Cs w:val="40"/>
          <w:u w:val="single"/>
          <w:lang w:val="en-US" w:eastAsia="en-US"/>
        </w:rPr>
      </w:pPr>
      <w:r>
        <w:rPr>
          <w:b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Verbale delle procedure del test di verifica</w:t>
      </w:r>
    </w:p>
    <w:p>
      <w:pPr>
        <w:pStyle w:val="Normal"/>
        <w:ind w:right="283" w:hanging="0"/>
        <w:rPr>
          <w:lang w:val="en-US" w:eastAsia="en-US"/>
        </w:rPr>
      </w:pPr>
      <w:r>
        <w:rPr>
          <w:lang w:val="en-US" w:eastAsia="en-US"/>
        </w:rPr>
        <w:t xml:space="preserve">                     </w:t>
      </w:r>
    </w:p>
    <w:p>
      <w:pPr>
        <w:pStyle w:val="Normal"/>
        <w:spacing w:lineRule="auto" w:line="360"/>
        <w:ind w:right="283" w:hanging="0"/>
        <w:jc w:val="both"/>
        <w:rPr>
          <w:szCs w:val="20"/>
        </w:rPr>
      </w:pPr>
      <w:r>
        <w:rPr>
          <w:szCs w:val="20"/>
        </w:rPr>
      </w:r>
    </w:p>
    <w:p>
      <w:pPr>
        <w:pStyle w:val="Normal"/>
        <w:spacing w:lineRule="auto" w:line="360"/>
        <w:ind w:right="283" w:hanging="0"/>
        <w:jc w:val="both"/>
        <w:rPr/>
      </w:pPr>
      <w:r>
        <w:rPr>
          <w:sz w:val="26"/>
          <w:szCs w:val="20"/>
        </w:rPr>
        <w:t xml:space="preserve">Il giorno [DATECOMPLETE] alle ore [ORA] il candidato </w:t>
      </w:r>
      <w:bookmarkStart w:id="3" w:name="OLE_LINK5"/>
      <w:bookmarkStart w:id="4" w:name="OLE_LINK4"/>
      <w:r>
        <w:rPr>
          <w:sz w:val="26"/>
          <w:szCs w:val="26"/>
          <w:lang w:val="en-US" w:eastAsia="en-US"/>
        </w:rPr>
        <w:t>Firstname Lastname</w:t>
      </w:r>
      <w:r>
        <w:rPr>
          <w:sz w:val="26"/>
          <w:szCs w:val="26"/>
        </w:rPr>
        <w:t xml:space="preserve"> </w:t>
      </w:r>
      <w:bookmarkEnd w:id="3"/>
      <w:bookmarkEnd w:id="4"/>
      <w:r>
        <w:rPr>
          <w:sz w:val="26"/>
          <w:szCs w:val="20"/>
        </w:rPr>
        <w:t xml:space="preserve">CF [CF], frequentate le 30 ore di aggiornamento con modalità di e-learning sulla piattaforma didattica di R&amp;B Consulting Srl, ha svolto il test di verifica finale relativo al corso di aggiornamento ai fini IVASS. </w:t>
      </w:r>
    </w:p>
    <w:p>
      <w:pPr>
        <w:pStyle w:val="Normal"/>
        <w:spacing w:lineRule="auto" w:line="360"/>
        <w:ind w:right="283" w:hanging="0"/>
        <w:jc w:val="both"/>
        <w:rPr/>
      </w:pPr>
      <w:r>
        <w:rPr>
          <w:sz w:val="26"/>
          <w:szCs w:val="20"/>
        </w:rPr>
        <w:t>Il corso fornito da R&amp;B Consulting Srl, con sede legale in via Crescenzio, 25 - 00193 Roma (RM), PI 05744121210, è rispondente ai dettati normativi contenuti nel Regolamento IVASS n. 40/2018.</w:t>
      </w:r>
    </w:p>
    <w:p>
      <w:pPr>
        <w:pStyle w:val="Normal"/>
        <w:spacing w:lineRule="auto" w:line="360"/>
        <w:ind w:right="283" w:hanging="0"/>
        <w:jc w:val="both"/>
        <w:rPr>
          <w:sz w:val="26"/>
          <w:szCs w:val="20"/>
        </w:rPr>
      </w:pPr>
      <w:r>
        <w:rPr>
          <w:sz w:val="26"/>
          <w:szCs w:val="20"/>
        </w:rPr>
        <w:t xml:space="preserve">Il test di verifica, somministrato in modalità e-learning, è articolato in un questionario a scelta multipla e risposta singola. </w:t>
      </w:r>
    </w:p>
    <w:p>
      <w:pPr>
        <w:pStyle w:val="Normal"/>
        <w:spacing w:lineRule="auto" w:line="360"/>
        <w:ind w:right="283" w:hanging="0"/>
        <w:jc w:val="both"/>
        <w:rPr/>
      </w:pPr>
      <w:r>
        <w:rPr>
          <w:sz w:val="26"/>
          <w:szCs w:val="20"/>
        </w:rPr>
        <w:t>Il candidato ha superato il test con votazione [VOTO] e la Segreteria Didattica di R&amp;B Consulting ha provveduto a rilasciare l’attestato in formato digitale ai sensi dell’art. 90 del Regolamento IVASS n. 40/2018.</w:t>
      </w:r>
    </w:p>
    <w:p>
      <w:pPr>
        <w:pStyle w:val="Normal"/>
        <w:spacing w:lineRule="auto" w:line="360"/>
        <w:ind w:right="283" w:hanging="0"/>
        <w:jc w:val="both"/>
        <w:rPr>
          <w:sz w:val="26"/>
          <w:szCs w:val="20"/>
        </w:rPr>
      </w:pPr>
      <w:r>
        <w:rPr>
          <w:sz w:val="26"/>
          <w:szCs w:val="20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drawing>
          <wp:anchor behindDoc="1" distT="0" distB="0" distL="114935" distR="114935" simplePos="0" locked="0" layoutInCell="1" allowOverlap="1" relativeHeight="7">
            <wp:simplePos x="0" y="0"/>
            <wp:positionH relativeFrom="column">
              <wp:posOffset>3360420</wp:posOffset>
            </wp:positionH>
            <wp:positionV relativeFrom="paragraph">
              <wp:posOffset>102870</wp:posOffset>
            </wp:positionV>
            <wp:extent cx="3012440" cy="776605"/>
            <wp:effectExtent l="0" t="0" r="0" b="0"/>
            <wp:wrapNone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44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0"/>
        </w:rPr>
        <w:t>L</w:t>
      </w:r>
      <w:r>
        <w:rPr>
          <w:sz w:val="26"/>
          <w:szCs w:val="20"/>
        </w:rPr>
        <w:t>ì [TODAY], Roma</w:t>
      </w:r>
      <w:r>
        <w:rPr>
          <w:b/>
          <w:i/>
          <w:sz w:val="28"/>
          <w:szCs w:val="28"/>
          <w:lang w:val="en-US" w:eastAsia="en-US"/>
        </w:rPr>
        <w:tab/>
        <w:tab/>
        <w:tab/>
        <w:tab/>
        <w:t xml:space="preserve">                        </w:t>
      </w:r>
      <w:r>
        <w:rPr>
          <w:i/>
          <w:sz w:val="28"/>
          <w:szCs w:val="28"/>
          <w:lang w:val="en-US" w:eastAsia="en-US"/>
        </w:rPr>
        <w:t>Giuseppe Russo</w:t>
      </w:r>
      <w:r>
        <w:rPr>
          <w:b/>
          <w:i/>
          <w:sz w:val="28"/>
          <w:szCs w:val="28"/>
          <w:lang w:val="en-US" w:eastAsia="en-US"/>
        </w:rPr>
        <w:tab/>
        <w:tab/>
        <w:tab/>
        <w:tab/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i/>
          <w:i/>
          <w:sz w:val="28"/>
          <w:szCs w:val="40"/>
          <w:u w:val="single"/>
          <w:lang w:val="en-US" w:eastAsia="en-US"/>
        </w:rPr>
      </w:pPr>
      <w:r>
        <w:rPr>
          <w:b/>
          <w:i/>
          <w:sz w:val="28"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Cs w:val="40"/>
          <w:u w:val="single"/>
          <w:lang w:val="en-US" w:eastAsia="en-US"/>
        </w:rPr>
      </w:pPr>
      <w:r>
        <w:rPr>
          <w:b/>
          <w:szCs w:val="40"/>
          <w:u w:val="single"/>
          <w:lang w:val="en-US" w:eastAsia="en-US"/>
        </w:rPr>
      </w:r>
    </w:p>
    <w:p>
      <w:pPr>
        <w:pStyle w:val="Normal"/>
        <w:jc w:val="center"/>
        <w:rPr>
          <w:i/>
          <w:i/>
          <w:sz w:val="40"/>
        </w:rPr>
      </w:pPr>
      <w:r>
        <w:rPr>
          <w:b/>
          <w:sz w:val="40"/>
          <w:u w:val="single"/>
        </w:rPr>
        <w:t>Programma del corso</w:t>
      </w:r>
    </w:p>
    <w:p>
      <w:pPr>
        <w:pStyle w:val="Normal"/>
        <w:jc w:val="center"/>
        <w:rPr>
          <w:i/>
          <w:i/>
        </w:rPr>
      </w:pPr>
      <w:r>
        <w:rPr>
          <w:i/>
        </w:rPr>
        <w:t>*Corso aggiornato al D.Lgs. n. 74 del 2015, alla Direttiva 2016/97/UE (IDD),</w:t>
      </w:r>
    </w:p>
    <w:p>
      <w:pPr>
        <w:pStyle w:val="Normal"/>
        <w:jc w:val="center"/>
        <w:rPr>
          <w:i/>
          <w:i/>
        </w:rPr>
      </w:pPr>
      <w:r>
        <w:rPr>
          <w:i/>
        </w:rPr>
        <w:t xml:space="preserve">al Regolamento UE 2016/679 (GDPR), al Provvedimento IVASS n. 58 del 2017, </w:t>
      </w:r>
    </w:p>
    <w:p>
      <w:pPr>
        <w:pStyle w:val="Normal"/>
        <w:jc w:val="center"/>
        <w:rPr>
          <w:i/>
          <w:i/>
        </w:rPr>
      </w:pPr>
      <w:r>
        <w:rPr>
          <w:i/>
        </w:rPr>
        <w:t>al Regolamento IVASS n. 44 del 2019, al Regolamento IVASS n. 40 del 2018,</w:t>
      </w:r>
    </w:p>
    <w:p>
      <w:pPr>
        <w:pStyle w:val="Normal"/>
        <w:jc w:val="center"/>
        <w:rPr>
          <w:i/>
          <w:i/>
        </w:rPr>
      </w:pPr>
      <w:r>
        <w:rPr>
          <w:i/>
        </w:rPr>
        <w:t>al Regolamento IVASS n. 45 del 2020 e al Provvedimento IVASS n. 111 del 2021</w:t>
      </w:r>
    </w:p>
    <w:p>
      <w:pPr>
        <w:pStyle w:val="Normal"/>
        <w:jc w:val="both"/>
        <w:rPr>
          <w:i/>
          <w:i/>
          <w:szCs w:val="22"/>
        </w:rPr>
      </w:pPr>
      <w:r>
        <w:rPr>
          <w:i/>
          <w:szCs w:val="22"/>
        </w:rPr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Area contrattuale e prodotti</w:t>
      </w:r>
    </w:p>
    <w:p>
      <w:pPr>
        <w:pStyle w:val="ListParagraph"/>
        <w:numPr>
          <w:ilvl w:val="0"/>
          <w:numId w:val="5"/>
        </w:numPr>
        <w:ind w:left="1985" w:right="850" w:hanging="284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Valutazione delle esigenze dei consumatori</w:t>
      </w:r>
    </w:p>
    <w:p>
      <w:pPr>
        <w:pStyle w:val="ListParagraph"/>
        <w:numPr>
          <w:ilvl w:val="0"/>
          <w:numId w:val="5"/>
        </w:numPr>
        <w:ind w:left="1985" w:right="850" w:hanging="284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Valutazione dei vantaggi e degli svantaggi delle diverse opzioni di investimento per gli assicurati</w:t>
      </w:r>
    </w:p>
    <w:p>
      <w:pPr>
        <w:pStyle w:val="ListParagraph"/>
        <w:numPr>
          <w:ilvl w:val="0"/>
          <w:numId w:val="5"/>
        </w:numPr>
        <w:ind w:left="1985" w:right="850" w:hanging="284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Valutazione dei rischi finanziari sostenuti dagli assicurati</w:t>
      </w:r>
    </w:p>
    <w:p>
      <w:pPr>
        <w:pStyle w:val="ListParagraph"/>
        <w:numPr>
          <w:ilvl w:val="0"/>
          <w:numId w:val="5"/>
        </w:numPr>
        <w:ind w:left="1985" w:right="850" w:hanging="284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Mercato delle assicurazioni e mercato dei prodotti di risparmio e dei servizi finanziari</w:t>
      </w:r>
    </w:p>
    <w:p>
      <w:pPr>
        <w:pStyle w:val="ListParagraph"/>
        <w:ind w:left="1985" w:right="850" w:hanging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ListParagraph"/>
        <w:numPr>
          <w:ilvl w:val="0"/>
          <w:numId w:val="2"/>
        </w:numPr>
        <w:ind w:left="1287" w:right="850" w:hanging="36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Area giuridica</w:t>
      </w:r>
    </w:p>
    <w:p>
      <w:pPr>
        <w:pStyle w:val="ListParagraph"/>
        <w:numPr>
          <w:ilvl w:val="0"/>
          <w:numId w:val="3"/>
        </w:numPr>
        <w:ind w:left="2007" w:right="850" w:hanging="306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Intermediazione assicurativa e riassicurativa - condizioni di accesso e di esercizio</w:t>
      </w:r>
    </w:p>
    <w:p>
      <w:pPr>
        <w:pStyle w:val="ListParagraph"/>
        <w:numPr>
          <w:ilvl w:val="0"/>
          <w:numId w:val="3"/>
        </w:numPr>
        <w:ind w:left="2007" w:right="850" w:hanging="306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Obblighi imposti agli intermediari dalla IDD</w:t>
      </w:r>
    </w:p>
    <w:p>
      <w:pPr>
        <w:pStyle w:val="ListParagraph"/>
        <w:numPr>
          <w:ilvl w:val="0"/>
          <w:numId w:val="3"/>
        </w:numPr>
        <w:ind w:left="2007" w:right="850" w:hanging="306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La vendita a distanza nel settore assicurativo</w:t>
      </w:r>
    </w:p>
    <w:p>
      <w:pPr>
        <w:pStyle w:val="ListParagraph"/>
        <w:numPr>
          <w:ilvl w:val="0"/>
          <w:numId w:val="3"/>
        </w:numPr>
        <w:ind w:left="2007" w:right="850" w:hanging="306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Conoscenza degli standard di etica professionale</w:t>
      </w:r>
    </w:p>
    <w:p>
      <w:pPr>
        <w:pStyle w:val="ListParagraph"/>
        <w:numPr>
          <w:ilvl w:val="0"/>
          <w:numId w:val="3"/>
        </w:numPr>
        <w:ind w:left="2007" w:right="850" w:hanging="306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Tutela del consumatore e codice del consumo</w:t>
      </w:r>
    </w:p>
    <w:p>
      <w:pPr>
        <w:pStyle w:val="ListParagraph"/>
        <w:numPr>
          <w:ilvl w:val="0"/>
          <w:numId w:val="3"/>
        </w:numPr>
        <w:ind w:left="2007" w:right="850" w:hanging="306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Riciclaggio e finanziamento del terrorismo</w:t>
      </w:r>
    </w:p>
    <w:p>
      <w:pPr>
        <w:pStyle w:val="ListParagraph"/>
        <w:numPr>
          <w:ilvl w:val="0"/>
          <w:numId w:val="3"/>
        </w:numPr>
        <w:ind w:left="2007" w:right="850" w:hanging="306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Responsabilità amministrativa delle persone giuridiche, delle società e delle associazioni anche prive di personalità giuridica</w:t>
      </w:r>
    </w:p>
    <w:p>
      <w:pPr>
        <w:pStyle w:val="ListParagraph"/>
        <w:numPr>
          <w:ilvl w:val="0"/>
          <w:numId w:val="3"/>
        </w:numPr>
        <w:ind w:left="2007" w:right="850" w:hanging="306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Norme tributarie, sociali e del lavoro pertinenti alla distribuzione dei prodotti assicurativi</w:t>
      </w:r>
    </w:p>
    <w:p>
      <w:pPr>
        <w:pStyle w:val="ListParagraph"/>
        <w:numPr>
          <w:ilvl w:val="0"/>
          <w:numId w:val="3"/>
        </w:numPr>
        <w:ind w:left="2007" w:right="850" w:hanging="306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Privacy (GDPR)</w:t>
      </w:r>
    </w:p>
    <w:p>
      <w:pPr>
        <w:pStyle w:val="ListParagraph"/>
        <w:numPr>
          <w:ilvl w:val="0"/>
          <w:numId w:val="3"/>
        </w:numPr>
        <w:ind w:left="2007" w:right="850" w:hanging="306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Vigilanza sulle imprese e sugli intermediari</w:t>
      </w:r>
    </w:p>
    <w:p>
      <w:pPr>
        <w:pStyle w:val="ListParagraph"/>
        <w:numPr>
          <w:ilvl w:val="0"/>
          <w:numId w:val="3"/>
        </w:numPr>
        <w:ind w:left="2007" w:right="850" w:hanging="306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Sanzioni</w:t>
      </w:r>
    </w:p>
    <w:p>
      <w:pPr>
        <w:pStyle w:val="ListParagraph"/>
        <w:numPr>
          <w:ilvl w:val="0"/>
          <w:numId w:val="3"/>
        </w:numPr>
        <w:ind w:left="2007" w:right="850" w:hanging="306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Sistemi alternativi di risoluzione delle liti</w:t>
      </w:r>
    </w:p>
    <w:p>
      <w:pPr>
        <w:pStyle w:val="ListParagraph"/>
        <w:ind w:left="1287" w:right="850" w:hanging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ListParagraph"/>
        <w:numPr>
          <w:ilvl w:val="0"/>
          <w:numId w:val="2"/>
        </w:numPr>
        <w:ind w:left="1287" w:right="850" w:hanging="36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Area tecnica assicurativa e riassicurativa</w:t>
      </w:r>
    </w:p>
    <w:p>
      <w:pPr>
        <w:pStyle w:val="ListParagraph"/>
        <w:numPr>
          <w:ilvl w:val="0"/>
          <w:numId w:val="1"/>
        </w:numPr>
        <w:ind w:left="1985" w:right="850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Principali tipologie di coperture assicurative</w:t>
      </w:r>
    </w:p>
    <w:p>
      <w:pPr>
        <w:pStyle w:val="ListParagraph"/>
        <w:numPr>
          <w:ilvl w:val="0"/>
          <w:numId w:val="1"/>
        </w:numPr>
        <w:ind w:left="1985" w:right="850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Elementi di tecniche di analisi dei rischi</w:t>
      </w:r>
    </w:p>
    <w:p>
      <w:pPr>
        <w:pStyle w:val="ListParagraph"/>
        <w:numPr>
          <w:ilvl w:val="0"/>
          <w:numId w:val="1"/>
        </w:numPr>
        <w:ind w:left="1985" w:right="850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Trattamento fiscale dei vari tipi di polizze vita e prodotti pensionistici</w:t>
      </w:r>
    </w:p>
    <w:p>
      <w:pPr>
        <w:pStyle w:val="Normal"/>
        <w:ind w:left="360" w:right="850" w:hanging="0"/>
        <w:jc w:val="both"/>
        <w:rPr>
          <w:rFonts w:ascii="Times New Roman" w:hAnsi="Times New Roman" w:eastAsia="Calibri" w:cs="Times New Roman"/>
          <w:sz w:val="24"/>
          <w:szCs w:val="22"/>
        </w:rPr>
      </w:pPr>
      <w:r>
        <w:rPr>
          <w:rFonts w:eastAsia="Calibri" w:cs="Times New Roman"/>
          <w:sz w:val="24"/>
          <w:szCs w:val="22"/>
        </w:rPr>
      </w:r>
    </w:p>
    <w:p>
      <w:pPr>
        <w:pStyle w:val="ListParagraph"/>
        <w:numPr>
          <w:ilvl w:val="0"/>
          <w:numId w:val="2"/>
        </w:numPr>
        <w:ind w:left="1287" w:right="850" w:hanging="36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Area amministrativa e gestionale</w:t>
      </w:r>
    </w:p>
    <w:p>
      <w:pPr>
        <w:pStyle w:val="Normal"/>
        <w:numPr>
          <w:ilvl w:val="0"/>
          <w:numId w:val="4"/>
        </w:numPr>
        <w:ind w:left="1985" w:right="850" w:hanging="284"/>
        <w:jc w:val="both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>Ciclo operativo ed economico delle imprese di assicurazione e riassicurazione</w:t>
      </w:r>
    </w:p>
    <w:p>
      <w:pPr>
        <w:pStyle w:val="Normal"/>
        <w:numPr>
          <w:ilvl w:val="0"/>
          <w:numId w:val="4"/>
        </w:numPr>
        <w:ind w:left="1985" w:right="850" w:hanging="284"/>
        <w:jc w:val="both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>Programmazione, analisi e controllo di gestione dell’intermediario assicurativo</w:t>
      </w:r>
    </w:p>
    <w:p>
      <w:pPr>
        <w:pStyle w:val="Normal"/>
        <w:numPr>
          <w:ilvl w:val="0"/>
          <w:numId w:val="4"/>
        </w:numPr>
        <w:ind w:left="1985" w:right="850" w:hanging="284"/>
        <w:jc w:val="both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>Gestione dei sinistri</w:t>
      </w:r>
    </w:p>
    <w:p>
      <w:pPr>
        <w:pStyle w:val="Normal"/>
        <w:numPr>
          <w:ilvl w:val="0"/>
          <w:numId w:val="4"/>
        </w:numPr>
        <w:ind w:left="1985" w:right="850" w:hanging="284"/>
        <w:jc w:val="both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>Gestione dei rapporti con il cliente</w:t>
      </w:r>
    </w:p>
    <w:p>
      <w:pPr>
        <w:pStyle w:val="Normal"/>
        <w:ind w:left="1985" w:right="850" w:hanging="0"/>
        <w:jc w:val="both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</w:r>
    </w:p>
    <w:p>
      <w:pPr>
        <w:pStyle w:val="Normal"/>
        <w:ind w:left="1985" w:right="850" w:hanging="0"/>
        <w:jc w:val="both"/>
        <w:rPr>
          <w:szCs w:val="22"/>
        </w:rPr>
      </w:pPr>
      <w:r>
        <w:rPr>
          <w:szCs w:val="22"/>
        </w:rPr>
      </w:r>
    </w:p>
    <w:p>
      <w:pPr>
        <w:pStyle w:val="Normal"/>
        <w:ind w:left="1985" w:right="850" w:hanging="0"/>
        <w:jc w:val="both"/>
        <w:rPr>
          <w:szCs w:val="22"/>
        </w:rPr>
      </w:pPr>
      <w:r>
        <w:rPr>
          <w:szCs w:val="22"/>
        </w:rPr>
      </w:r>
    </w:p>
    <w:p>
      <w:pPr>
        <w:pStyle w:val="Normal"/>
        <w:ind w:left="1985" w:right="850" w:hanging="0"/>
        <w:jc w:val="both"/>
        <w:rPr>
          <w:szCs w:val="22"/>
        </w:rPr>
      </w:pPr>
      <w:r>
        <w:rPr>
          <w:szCs w:val="22"/>
        </w:rPr>
      </w:r>
    </w:p>
    <w:p>
      <w:pPr>
        <w:pStyle w:val="ListParagraph"/>
        <w:numPr>
          <w:ilvl w:val="0"/>
          <w:numId w:val="2"/>
        </w:numPr>
        <w:ind w:left="1287" w:right="850" w:hanging="36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Area informatica</w:t>
      </w:r>
    </w:p>
    <w:p>
      <w:pPr>
        <w:pStyle w:val="ListParagraph"/>
        <w:numPr>
          <w:ilvl w:val="0"/>
          <w:numId w:val="6"/>
        </w:numPr>
        <w:ind w:left="1985" w:right="850" w:hanging="284"/>
        <w:jc w:val="both"/>
        <w:rPr>
          <w:szCs w:val="28"/>
          <w:lang w:val="en-US" w:eastAsia="en-US"/>
        </w:rPr>
      </w:pPr>
      <w:r>
        <w:rPr>
          <w:rFonts w:cs="Times New Roman" w:ascii="Times New Roman" w:hAnsi="Times New Roman"/>
          <w:sz w:val="24"/>
        </w:rPr>
        <w:t>Strumenti di Office Automation</w:t>
      </w:r>
    </w:p>
    <w:p>
      <w:pPr>
        <w:pStyle w:val="ListParagraph"/>
        <w:numPr>
          <w:ilvl w:val="0"/>
          <w:numId w:val="6"/>
        </w:numPr>
        <w:ind w:left="1985" w:right="850" w:hanging="284"/>
        <w:jc w:val="both"/>
        <w:rPr>
          <w:rFonts w:ascii="Times New Roman" w:hAnsi="Times New Roman" w:cs="Times New Roman"/>
          <w:sz w:val="24"/>
          <w:szCs w:val="28"/>
          <w:lang w:val="en-US" w:eastAsia="en-US"/>
        </w:rPr>
      </w:pPr>
      <w:r>
        <w:rPr>
          <w:rFonts w:cs="Times New Roman" w:ascii="Times New Roman" w:hAnsi="Times New Roman"/>
          <w:sz w:val="24"/>
          <w:szCs w:val="28"/>
          <w:lang w:val="en-US" w:eastAsia="en-US"/>
        </w:rPr>
        <w:t>Navigazione web e utilizzo di internet</w:t>
      </w:r>
    </w:p>
    <w:p>
      <w:pPr>
        <w:pStyle w:val="ListParagraph"/>
        <w:numPr>
          <w:ilvl w:val="0"/>
          <w:numId w:val="6"/>
        </w:numPr>
        <w:ind w:left="1985" w:right="850" w:hanging="284"/>
        <w:jc w:val="both"/>
        <w:rPr>
          <w:rFonts w:ascii="Times New Roman" w:hAnsi="Times New Roman" w:cs="Times New Roman"/>
          <w:sz w:val="24"/>
          <w:szCs w:val="28"/>
          <w:lang w:val="en-US" w:eastAsia="en-US"/>
        </w:rPr>
      </w:pPr>
      <w:r>
        <w:rPr>
          <w:rFonts w:cs="Times New Roman" w:ascii="Times New Roman" w:hAnsi="Times New Roman"/>
          <w:sz w:val="24"/>
          <w:szCs w:val="28"/>
          <w:lang w:val="en-US" w:eastAsia="en-US"/>
        </w:rPr>
        <w:t>Sicurezza informatica e protezione dei dati (durata 6h)</w:t>
      </w:r>
    </w:p>
    <w:p>
      <w:pPr>
        <w:pStyle w:val="ListParagraph"/>
        <w:spacing w:lineRule="auto" w:line="276"/>
        <w:ind w:left="1985" w:right="850" w:hanging="0"/>
        <w:jc w:val="both"/>
        <w:rPr>
          <w:rFonts w:ascii="Times New Roman" w:hAnsi="Times New Roman" w:cs="Times New Roman"/>
          <w:sz w:val="24"/>
          <w:szCs w:val="28"/>
          <w:lang w:val="en-US" w:eastAsia="en-US"/>
        </w:rPr>
      </w:pPr>
      <w:r>
        <w:rPr>
          <w:rFonts w:cs="Times New Roman" w:ascii="Times New Roman" w:hAnsi="Times New Roman"/>
          <w:sz w:val="24"/>
          <w:szCs w:val="28"/>
          <w:lang w:val="en-US" w:eastAsia="en-US"/>
        </w:rPr>
      </w:r>
    </w:p>
    <w:sectPr>
      <w:headerReference w:type="default" r:id="rId4"/>
      <w:footerReference w:type="default" r:id="rId5"/>
      <w:type w:val="nextPage"/>
      <w:pgSz w:w="11906" w:h="16838"/>
      <w:pgMar w:left="1134" w:right="566" w:header="708" w:top="993" w:footer="143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an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b/>
        <w:b/>
        <w:i/>
        <w:i/>
        <w:lang w:val="en-US"/>
      </w:rPr>
    </w:pPr>
    <w:r>
      <w:rPr>
        <w:b/>
        <w:i/>
        <w:lang w:val="en-US"/>
      </w:rPr>
      <w:t>R&amp;B Consulting S.r.l.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[sedelegale]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P.I.: 05744121210 - Numero REA: RM 1289708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Ente con certificazione di qualità UNI EN ISO 9001:2008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  <w:drawing>
        <wp:inline distT="0" distB="0" distL="0" distR="0">
          <wp:extent cx="5771515" cy="750570"/>
          <wp:effectExtent l="0" t="0" r="0" b="0"/>
          <wp:docPr id="3" name="Image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17" r="-7" b="-17"/>
                  <a:stretch>
                    <a:fillRect/>
                  </a:stretch>
                </pic:blipFill>
                <pic:spPr bwMode="auto">
                  <a:xfrm>
                    <a:off x="0" y="0"/>
                    <a:ext cx="5771515" cy="7505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287" w:hanging="360"/>
      </w:pPr>
      <w:rPr>
        <w:sz w:val="24"/>
        <w:rFonts w:ascii="Times New Roman" w:hAnsi="Times New Roman" w:cs="Times New Roman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708"/>
        </w:tabs>
        <w:ind w:left="2007" w:hanging="360"/>
      </w:pPr>
      <w:rPr>
        <w:rFonts w:ascii="Vani" w:hAnsi="Vani" w:cs="Vani" w:hint="default"/>
      </w:rPr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</w:abstractNum>
  <w:abstractNum w:abstractNumId="5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</w:abstractNum>
  <w:abstractNum w:abstractNumId="6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</w:abstractNum>
  <w:abstractNum w:abstractNumId="7">
    <w:lvl w:ilvl="0">
      <w:start w:val="1"/>
      <w:numFmt w:val="lowerLetter"/>
      <w:lvlText w:val="%1)"/>
      <w:lvlJc w:val="left"/>
      <w:pPr>
        <w:tabs>
          <w:tab w:val="num" w:pos="669"/>
        </w:tabs>
        <w:ind w:left="669" w:hanging="360"/>
      </w:pPr>
      <w:rPr>
        <w:lang w:val="en-US" w:eastAsia="en-US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it-IT" w:bidi="ar-SA" w:eastAsia="zh-CN"/>
    </w:rPr>
  </w:style>
  <w:style w:type="character" w:styleId="WW8Num1z0">
    <w:name w:val="WW8Num1z0"/>
    <w:qFormat/>
    <w:rPr>
      <w:rFonts w:ascii="Vani" w:hAnsi="Vani" w:cs="Vani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/>
  </w:style>
  <w:style w:type="character" w:styleId="WW8Num2z1">
    <w:name w:val="WW8Num2z1"/>
    <w:qFormat/>
    <w:rPr/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>
      <w:rFonts w:ascii="Times New Roman" w:hAnsi="Times New Roman" w:eastAsia="Calibri" w:cs="Times New Roman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Times New Roman" w:hAnsi="Times New Roman" w:eastAsia="Calibri" w:cs="Times New Roman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Times New Roman" w:hAnsi="Times New Roman" w:cs="Times New Roman"/>
      <w:sz w:val="24"/>
    </w:rPr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WW8Num6z0">
    <w:name w:val="WW8Num6z0"/>
    <w:qFormat/>
    <w:rPr>
      <w:rFonts w:ascii="Times New Roman" w:hAnsi="Times New Roman" w:eastAsia="Calibri" w:cs="Times New Roman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Vani" w:hAnsi="Vani" w:cs="Vani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rFonts w:ascii="Vani" w:hAnsi="Vani" w:cs="Vani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Times New Roman" w:hAnsi="Times New Roman" w:eastAsia="Times New Roman" w:cs="Times New Roman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Times New Roman" w:hAnsi="Times New Roman" w:eastAsia="Calibri" w:cs="Times New Roman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>
      <w:rFonts w:ascii="Times New Roman" w:hAnsi="Times New Roman" w:eastAsia="Calibri" w:cs="Times New Roman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>
      <w:rFonts w:ascii="Vani" w:hAnsi="Vani" w:cs="Vani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>
      <w:rFonts w:ascii="Vani" w:hAnsi="Vani" w:cs="Vani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rFonts w:ascii="Vani" w:hAnsi="Vani" w:cs="Vani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>
      <w:rFonts w:ascii="Vani" w:hAnsi="Vani" w:cs="Vani"/>
      <w:sz w:val="24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5z3">
    <w:name w:val="WW8Num15z3"/>
    <w:qFormat/>
    <w:rPr>
      <w:rFonts w:ascii="Symbol" w:hAnsi="Symbol" w:cs="Symbol"/>
    </w:rPr>
  </w:style>
  <w:style w:type="character" w:styleId="WW8Num16z0">
    <w:name w:val="WW8Num16z0"/>
    <w:qFormat/>
    <w:rPr>
      <w:lang w:val="en-US" w:eastAsia="en-US"/>
    </w:rPr>
  </w:style>
  <w:style w:type="character" w:styleId="WW8Num16z1">
    <w:name w:val="WW8Num16z1"/>
    <w:qFormat/>
    <w:rPr/>
  </w:style>
  <w:style w:type="character" w:styleId="WW8Num16z2">
    <w:name w:val="WW8Num16z2"/>
    <w:qFormat/>
    <w:rPr/>
  </w:style>
  <w:style w:type="character" w:styleId="WW8Num16z3">
    <w:name w:val="WW8Num16z3"/>
    <w:qFormat/>
    <w:rPr/>
  </w:style>
  <w:style w:type="character" w:styleId="WW8Num16z4">
    <w:name w:val="WW8Num16z4"/>
    <w:qFormat/>
    <w:rPr/>
  </w:style>
  <w:style w:type="character" w:styleId="WW8Num16z5">
    <w:name w:val="WW8Num16z5"/>
    <w:qFormat/>
    <w:rPr/>
  </w:style>
  <w:style w:type="character" w:styleId="WW8Num16z6">
    <w:name w:val="WW8Num16z6"/>
    <w:qFormat/>
    <w:rPr/>
  </w:style>
  <w:style w:type="character" w:styleId="WW8Num16z7">
    <w:name w:val="WW8Num16z7"/>
    <w:qFormat/>
    <w:rPr/>
  </w:style>
  <w:style w:type="character" w:styleId="WW8Num16z8">
    <w:name w:val="WW8Num16z8"/>
    <w:qFormat/>
    <w:rPr/>
  </w:style>
  <w:style w:type="character" w:styleId="DefaultParagraphFont">
    <w:name w:val="Default Paragraph Font"/>
    <w:qFormat/>
    <w:rPr/>
  </w:style>
  <w:style w:type="character" w:styleId="FooterChar">
    <w:name w:val="Footer Char"/>
    <w:qFormat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>
      <w:lang w:val="en-US"/>
    </w:rPr>
  </w:style>
  <w:style w:type="paragraph" w:styleId="ListParagraph">
    <w:name w:val="List Paragraph"/>
    <w:basedOn w:val="Normal"/>
    <w:qFormat/>
    <w:pPr>
      <w:spacing w:before="0" w:after="0"/>
      <w:ind w:left="720" w:hanging="0"/>
      <w:contextualSpacing/>
      <w:jc w:val="center"/>
    </w:pPr>
    <w:rPr>
      <w:rFonts w:ascii="Calibri" w:hAnsi="Calibri" w:eastAsia="Calibri" w:cs="Calibri"/>
      <w:sz w:val="22"/>
      <w:szCs w:val="22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wmf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2021-10-28T15:16:00Z</dcterms:created>
  <dc:creator>A</dc:creator>
  <dc:description/>
  <cp:keywords/>
  <dc:language>en-US</dc:language>
  <cp:lastModifiedBy>Employee</cp:lastModifiedBy>
  <cp:lastPrinted>2010-10-29T13:21:00Z</cp:lastPrinted>
  <dcterms:modified xsi:type="dcterms:W3CDTF">2023-01-12T14:17:00Z</dcterms:modified>
  <cp:revision>3</cp:revision>
  <dc:subject/>
  <dc:title>                                </dc:title>
</cp:coreProperties>
</file>