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60H 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DI AGGIORNAMENTO AI FINI IVASS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PER LA REISCRIZIONE A - B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60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n. 58 del 2017 e al Regolamento IVASS n. 40 del 2018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Prof. Avv. Giuseppe Russo - Avv. C. Gugliotta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60 ore di aggiornamento con modalità di e-learning sulla piattaforma didattica di R&amp;B Consulting Srl, ha svolto il test di verifica finale relativo al corso di aggiornamento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7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aggiornato al D.Lgs. n. 74 del 2015, alla Direttiva 2016/97/UE (IDD), 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UE 2016/679 (GDPR), al Provvedimento n. 58 del 2017 e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al Regolamento IVASS n. 40 del 2018</w:t>
      </w:r>
    </w:p>
    <w:p>
      <w:pPr>
        <w:pStyle w:val="Normal"/>
        <w:spacing w:lineRule="auto" w:line="276"/>
        <w:ind w:right="283" w:hanging="0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1. Area contrattuale e prodotti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Condizioni contrattuali delle polizze vita (coperture, costi ed esclusioni), compresi i benefici garantiti e i rischi accessori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Valutazione delle esigenze dei consumatori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Valutazione dei vantaggi e degli svantaggi delle diverse opzioni di investimento per gli assicurati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Valutazione dei rischi finanziari sostenuti dagli assicurati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Mercato delle assicurazioni e mercato dei prodotti di risparmio e dei servizi finanziari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Organizzazione e benefici garantiti dal sistema pensionistico dello Stato italiano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2. Area giuridica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Solvency II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Impresa di assicurazione - condizioni di accesso e di esercizio e regime di operatività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Impresa di riassicurazione - condizioni di accesso e esercizio e regime di operatività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Controlli sull’impresa di assicurazione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Norme che disciplinano la distribuzione dei prodotti assicurativi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Regole generali di comportamento e gestione dei conflitti di interesse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Sanzioni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Conoscenza degli standard di etica professionale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Contratto di assicurazione e di riassicurazione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Norme in materia di protezione e tutela del consumatore e Codice del consumo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Antiriciclaggio e contrasto al finanziamento del terrorismo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Mifid 2 e Regomento Priips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Psd 2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Normativa in materia di protezione dei dati personali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Vigilanza sulle imprese e sugli intermediari</w:t>
      </w:r>
    </w:p>
    <w:p>
      <w:pPr>
        <w:pStyle w:val="Normal"/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3. Area tecnica assicurativa e riassicurativa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Classificazione per rami di attività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Principali tipologie di coperture assicurative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Assicurazioni contro i danni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Assicurazioni obbligatorie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Principali tipologie di coperture riassicurative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Elementi tariffari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Elementi di tecniche di analisi dei rischi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Trattamento fiscale dei vari tipi di polizze vita e prodotti pensionistici</w:t>
      </w:r>
    </w:p>
    <w:p>
      <w:pPr>
        <w:pStyle w:val="Normal"/>
        <w:spacing w:lineRule="auto" w:line="276"/>
        <w:ind w:left="72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4. Area amministrativa e gestionale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Ciclo operativo ed economico delle imprese di assicurazione e riassicurazione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Elementi di contabilità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Programmazione, analisi e controllo di gestione dell’intermediario assicurativo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Gestione dei reclami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Sistemi alternativi di risoluzione delle liti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Gestione dei sinistri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Gestione dei rapporti con il cliente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Marketing e tecniche di comunicazione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Capacità di ascoltare e decodificare i bisogni della clientela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Cs w:val="28"/>
          <w:lang w:val="en-US" w:eastAsia="en-US"/>
        </w:rPr>
        <w:t xml:space="preserve">5. Area informatica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Strumenti di Office Automation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Navigazione web e utilizzo di internet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Cs w:val="28"/>
          <w:lang w:val="en-US" w:eastAsia="en-US"/>
        </w:rPr>
      </w:pPr>
      <w:r>
        <w:rPr>
          <w:szCs w:val="28"/>
          <w:lang w:val="en-US" w:eastAsia="en-US"/>
        </w:rPr>
        <w:t>Applicazioni/procedure e altre tecnologie predisposte dall’impresa/e con cuil’intermediario opera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/>
      </w:pPr>
      <w:r>
        <w:rPr>
          <w:szCs w:val="28"/>
          <w:lang w:val="en-US" w:eastAsia="en-US"/>
        </w:rPr>
        <w:t>Sicurezza informatica e protezione dei dati (durata 6h)</w:t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39"/>
      <w:numFmt w:val="bullet"/>
      <w:lvlText w:val="-"/>
      <w:lvlJc w:val="left"/>
      <w:pPr>
        <w:tabs>
          <w:tab w:val="num" w:pos="0"/>
        </w:tabs>
        <w:ind w:left="780" w:hanging="360"/>
      </w:pPr>
      <w:rPr>
        <w:rFonts w:ascii="Times New Roman" w:hAnsi="Times New Roman" w:cs="Times New Roman" w:hint="default"/>
      </w:r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Calibri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Calibri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Calibri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eastAsia="Calibri" w:cs="Times New Roman"/>
      <w:szCs w:val="28"/>
      <w:lang w:val="en-US" w:eastAsia="en-U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lang w:val="en-US" w:eastAsia="en-US"/>
    </w:rPr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2018-02-15T13:08:00Z</dcterms:created>
  <dc:creator>A</dc:creator>
  <dc:description/>
  <cp:keywords/>
  <dc:language>en-US</dc:language>
  <cp:lastModifiedBy>utente</cp:lastModifiedBy>
  <cp:lastPrinted>2010-10-29T13:21:00Z</cp:lastPrinted>
  <dcterms:modified xsi:type="dcterms:W3CDTF">2019-06-12T12:40:00Z</dcterms:modified>
  <cp:revision>14</cp:revision>
  <dc:subject/>
  <dc:title>                                </dc:title>
</cp:coreProperties>
</file>