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72"/>
          <w:szCs w:val="72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CF: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60H 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DI AGGIORNAMENTO AI FINI IVASS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PER LA REISCRIZIONE A - B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60 ore in modalità di e-learning</w:t>
      </w:r>
    </w:p>
    <w:p>
      <w:pPr>
        <w:pStyle w:val="Normal"/>
        <w:ind w:right="425" w:hanging="0"/>
        <w:rPr/>
      </w:pPr>
      <w:r>
        <w:rPr/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 xml:space="preserve">Aree tematiche trattate </w:t>
      </w:r>
      <w:r>
        <w:rPr>
          <w:i/>
          <w:lang w:val="en-US" w:eastAsia="en-US"/>
        </w:rPr>
        <w:t>aggiornate al D.Lgs. n. 74 del 2015, alla Direttiva 2016/97/UE (IDD), al Regolamento UE 2016/679 (GDPR), al Provvedimento IVASS n. 58 del 2017, al Regolamento IVASS n. 44 del 2019, al Regolamento IVASS n. 40 del 2018 (modificato e integrato dal Provvedimento IVASS n. 97 del 2020) e al Regolamento IVASS n. 45 del 2020</w:t>
      </w:r>
      <w:r>
        <w:rPr>
          <w:lang w:val="en-US" w:eastAsia="en-US"/>
        </w:rPr>
        <w:t>: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709" w:right="425" w:hanging="425"/>
        <w:jc w:val="both"/>
        <w:rPr/>
      </w:pPr>
      <w:r>
        <w:rPr>
          <w:lang w:val="en-US" w:eastAsia="en-US"/>
        </w:rPr>
        <w:t xml:space="preserve">Area contrattuale e prodotti. 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giuridica.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tecnica assicurativa e riassicurativa.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-179" w:leader="none"/>
        </w:tabs>
        <w:ind w:left="284" w:right="425" w:hanging="0"/>
        <w:jc w:val="both"/>
        <w:rPr/>
      </w:pPr>
      <w:r>
        <w:rPr>
          <w:lang w:val="en-US" w:eastAsia="en-US"/>
        </w:rPr>
        <w:t xml:space="preserve">Area amministrativa e gestionale. 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709" w:leader="none"/>
        </w:tabs>
        <w:ind w:left="669" w:right="425" w:hanging="360"/>
        <w:jc w:val="both"/>
        <w:rPr>
          <w:lang w:val="en-US" w:eastAsia="en-US"/>
        </w:rPr>
      </w:pPr>
      <w:r>
        <w:rPr>
          <w:lang w:val="en-US" w:eastAsia="en-US"/>
        </w:rPr>
        <w:t>Area informatica.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Prof. Avv. Giuseppe Russo - Avv. C. Gugliotta - Avv. Angela Sgueglia </w:t>
      </w:r>
    </w:p>
    <w:p>
      <w:pPr>
        <w:pStyle w:val="Normal"/>
        <w:ind w:right="425" w:hanging="0"/>
        <w:rPr/>
      </w:pPr>
      <w:r>
        <w:rPr>
          <w:i/>
          <w:sz w:val="22"/>
          <w:szCs w:val="28"/>
          <w:lang w:val="en-US" w:eastAsia="en-US"/>
        </w:rPr>
        <w:t>Il Coordinatore Scientifico e la docente hanno maturato una comprovata esperienza oltre che quinquennale nelle materie di cui alla lettera a) comma 3 art. 96 del Regolamento IVASS n. 40/2018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                  </w:t>
      </w:r>
    </w:p>
    <w:p>
      <w:pPr>
        <w:pStyle w:val="Normal"/>
        <w:spacing w:lineRule="auto" w:line="360"/>
        <w:ind w:right="283" w:hanging="0"/>
        <w:jc w:val="both"/>
        <w:rPr>
          <w:szCs w:val="20"/>
        </w:rPr>
      </w:pPr>
      <w:r>
        <w:rPr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3" w:name="OLE_LINK5"/>
      <w:bookmarkStart w:id="4" w:name="OLE_LINK4"/>
      <w:r>
        <w:rPr>
          <w:sz w:val="26"/>
          <w:szCs w:val="26"/>
          <w:lang w:val="en-US" w:eastAsia="en-US"/>
        </w:rPr>
        <w:t>Firstname Lastname</w:t>
      </w:r>
      <w:r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[CF], frequentate le 60 ore di aggiornamento con modalità di e-learning sulla piattaforma didattica di R&amp;B Consulting Srl, ha svolto il test di verifica finale relativo al corso di aggiornamento ai fini IVASS.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7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>*</w:t>
      </w:r>
      <w:r>
        <w:rPr/>
        <w:t xml:space="preserve"> </w:t>
      </w:r>
      <w:r>
        <w:rPr>
          <w:i/>
          <w:szCs w:val="26"/>
          <w:lang w:val="en-US" w:eastAsia="en-US"/>
        </w:rPr>
        <w:t>Corso</w:t>
      </w:r>
      <w:r>
        <w:rPr/>
        <w:t xml:space="preserve"> </w:t>
      </w:r>
      <w:r>
        <w:rPr>
          <w:i/>
          <w:szCs w:val="26"/>
          <w:lang w:val="en-US" w:eastAsia="en-US"/>
        </w:rPr>
        <w:t xml:space="preserve">aggiornato al D.Lgs. n. 74 del 2015, alla Direttiva 2016/97/UE (IDD),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al Regolamento UE 2016/679 (GDPR), al Provvedimento IVASS n. 58 del 2017,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al Regolamento IVASS n. 44 del 2019, al Regolamento IVASS n. 40 del 2018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(modificato e integrato dal Provvedimento IVASS n. 97 del 2020) e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>al Regolamento IVASS n. 45 del 2020</w:t>
      </w:r>
    </w:p>
    <w:p>
      <w:pPr>
        <w:pStyle w:val="Normal"/>
        <w:jc w:val="both"/>
        <w:rPr>
          <w:szCs w:val="22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contrattuale e prodotti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Valutazione delle esigenze dei consumatori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Valutazione dei rischi finanziari sostenuti dagli assicurati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ListParagraph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ListParagraph"/>
        <w:ind w:left="1985" w:right="850" w:hanging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4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giuridica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Solvency II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Impresa di assicurazione - condizioni di accesso e di esercizio e regime di operatività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Controlli sull’impresa di assicurazione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Sanzioni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Conoscenza degli standard di etica professionale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Contratto di assicurazione e di riassicurazione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Antiriciclaggio e contrasto al finanziamento del terrorismo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Mifid 2 e Regomento Priips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Psd 2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/>
      </w:pPr>
      <w:r>
        <w:rPr>
          <w:rFonts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ListParagraph"/>
        <w:ind w:left="2007" w:right="850" w:hanging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ind w:left="2007" w:right="850" w:hanging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Normativa in materia di protezione dei dati personali</w:t>
      </w:r>
    </w:p>
    <w:p>
      <w:pPr>
        <w:pStyle w:val="ListParagraph"/>
        <w:numPr>
          <w:ilvl w:val="0"/>
          <w:numId w:val="5"/>
        </w:numPr>
        <w:ind w:left="200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Vigilanza sulle imprese e sugli intermediari</w:t>
      </w:r>
    </w:p>
    <w:p>
      <w:pPr>
        <w:pStyle w:val="ListParagraph"/>
        <w:ind w:left="1287" w:right="850" w:hanging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4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tecnica assicurativa e riassicurativa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Classificazione per rami di attività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Principali tipologie di coperture assicurative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Assicurazioni contro i danni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Assicurazioni obbligatorie e novità nel settore rc auto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Principali tipologie di coperture riassicurative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Elementi tariffari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Elementi di tecniche di analisi dei rischi</w:t>
      </w:r>
    </w:p>
    <w:p>
      <w:pPr>
        <w:pStyle w:val="ListParagraph"/>
        <w:numPr>
          <w:ilvl w:val="0"/>
          <w:numId w:val="1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ind w:left="360" w:right="850" w:hanging="0"/>
        <w:jc w:val="both"/>
        <w:rPr>
          <w:rFonts w:ascii="Times New Roman" w:hAnsi="Times New Roman" w:eastAsia="Calibri" w:cs="Times New Roman"/>
          <w:sz w:val="24"/>
          <w:szCs w:val="22"/>
        </w:rPr>
      </w:pPr>
      <w:r>
        <w:rPr>
          <w:rFonts w:eastAsia="Calibri" w:cs="Times New Roman"/>
          <w:sz w:val="24"/>
          <w:szCs w:val="22"/>
        </w:rPr>
      </w:r>
    </w:p>
    <w:p>
      <w:pPr>
        <w:pStyle w:val="ListParagraph"/>
        <w:numPr>
          <w:ilvl w:val="0"/>
          <w:numId w:val="4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/>
      </w:pPr>
      <w:r>
        <w:rPr>
          <w:rFonts w:eastAsia="Calibri"/>
          <w:szCs w:val="22"/>
          <w:lang w:eastAsia="en-US"/>
        </w:rPr>
        <w:t>Ciclo operativo ed economico delle imprese di assicurazione e riassicurazione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Elementi di contabilità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/>
      </w:pPr>
      <w:r>
        <w:rPr>
          <w:rFonts w:eastAsia="Calibri"/>
          <w:szCs w:val="22"/>
          <w:lang w:eastAsia="en-US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/>
      </w:pPr>
      <w:r>
        <w:rPr>
          <w:rFonts w:eastAsia="Calibri"/>
          <w:szCs w:val="22"/>
          <w:lang w:eastAsia="en-US"/>
        </w:rPr>
        <w:t>Programmazione, analisi e controllo di gestione dell’intermediario assicurativo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Gestione dei reclami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Sistemi alternativi di risoluzione delle liti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Gestione dei sinistri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Gestione dei rapporti con il cliente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szCs w:val="22"/>
        </w:rPr>
      </w:pPr>
      <w:r>
        <w:rPr>
          <w:rFonts w:eastAsia="Calibri"/>
          <w:szCs w:val="22"/>
          <w:lang w:eastAsia="en-US"/>
        </w:rPr>
        <w:t>Marketing e tecniche di comunicazione</w:t>
      </w:r>
    </w:p>
    <w:p>
      <w:pPr>
        <w:pStyle w:val="Normal"/>
        <w:numPr>
          <w:ilvl w:val="0"/>
          <w:numId w:val="2"/>
        </w:numPr>
        <w:ind w:left="1985" w:right="850" w:hanging="284"/>
        <w:jc w:val="both"/>
        <w:rPr>
          <w:szCs w:val="22"/>
        </w:rPr>
      </w:pPr>
      <w:r>
        <w:rPr/>
        <w:t>Capacità di ascoltare e decodificare i bisogni della clientela</w:t>
      </w:r>
    </w:p>
    <w:p>
      <w:pPr>
        <w:pStyle w:val="Normal"/>
        <w:ind w:left="1985" w:right="850" w:hanging="0"/>
        <w:jc w:val="both"/>
        <w:rPr>
          <w:szCs w:val="22"/>
        </w:rPr>
      </w:pPr>
      <w:r>
        <w:rPr>
          <w:szCs w:val="22"/>
        </w:rPr>
      </w:r>
    </w:p>
    <w:p>
      <w:pPr>
        <w:pStyle w:val="ListParagraph"/>
        <w:numPr>
          <w:ilvl w:val="0"/>
          <w:numId w:val="4"/>
        </w:numPr>
        <w:ind w:left="1287" w:right="850" w:hanging="36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Area informatica</w:t>
      </w:r>
    </w:p>
    <w:p>
      <w:pPr>
        <w:pStyle w:val="ListParagraph"/>
        <w:numPr>
          <w:ilvl w:val="0"/>
          <w:numId w:val="6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Strumenti di Office Automation</w:t>
      </w:r>
    </w:p>
    <w:p>
      <w:pPr>
        <w:pStyle w:val="ListParagraph"/>
        <w:numPr>
          <w:ilvl w:val="0"/>
          <w:numId w:val="6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Navigazione web e utilizzo di internet</w:t>
      </w:r>
    </w:p>
    <w:p>
      <w:pPr>
        <w:pStyle w:val="ListParagraph"/>
        <w:numPr>
          <w:ilvl w:val="0"/>
          <w:numId w:val="6"/>
        </w:numPr>
        <w:ind w:left="1985" w:right="850" w:hanging="284"/>
        <w:jc w:val="both"/>
        <w:rPr/>
      </w:pPr>
      <w:r>
        <w:rPr>
          <w:rFonts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ListParagraph"/>
        <w:numPr>
          <w:ilvl w:val="0"/>
          <w:numId w:val="6"/>
        </w:numPr>
        <w:ind w:left="1985" w:right="850" w:hanging="284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76"/>
        <w:ind w:right="850" w:hanging="0"/>
        <w:rPr>
          <w:rFonts w:ascii="Times New Roman" w:hAnsi="Times New Roman" w:cs="Times New Roman"/>
          <w:sz w:val="22"/>
          <w:szCs w:val="28"/>
          <w:lang w:val="en-US" w:eastAsia="en-US"/>
        </w:rPr>
      </w:pPr>
      <w:r>
        <w:rPr>
          <w:rFonts w:cs="Times New Roman"/>
          <w:sz w:val="22"/>
          <w:szCs w:val="28"/>
          <w:lang w:val="en-US" w:eastAsia="en-US"/>
        </w:rPr>
      </w:r>
    </w:p>
    <w:p>
      <w:pPr>
        <w:pStyle w:val="Normal"/>
        <w:numPr>
          <w:ilvl w:val="0"/>
          <w:numId w:val="0"/>
        </w:numPr>
        <w:spacing w:lineRule="auto" w:line="360"/>
        <w:jc w:val="both"/>
        <w:outlineLvl w:val="0"/>
        <w:rPr>
          <w:rFonts w:ascii="Arial" w:hAnsi="Arial" w:cs="Arial"/>
          <w:b/>
          <w:b/>
          <w:sz w:val="22"/>
          <w:szCs w:val="28"/>
          <w:lang w:val="en-US" w:eastAsia="en-US"/>
        </w:rPr>
      </w:pPr>
      <w:r>
        <w:rPr>
          <w:rFonts w:cs="Arial" w:ascii="Arial" w:hAnsi="Arial"/>
          <w:b/>
          <w:sz w:val="22"/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rFonts w:ascii="Arial" w:hAnsi="Arial" w:cs="Arial"/>
          <w:b/>
          <w:b/>
          <w:szCs w:val="28"/>
          <w:lang w:val="en-US" w:eastAsia="en-US"/>
        </w:rPr>
      </w:pPr>
      <w:r>
        <w:rPr>
          <w:rFonts w:cs="Arial" w:ascii="Arial" w:hAnsi="Arial"/>
          <w:b/>
          <w:szCs w:val="28"/>
          <w:lang w:val="en-US" w:eastAsia="en-US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an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Vani" w:hAnsi="Vani" w:cs="Vani"/>
      <w:sz w:val="24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Vani" w:hAnsi="Vani" w:eastAsia="Calibri" w:cs="Vani"/>
      <w:szCs w:val="22"/>
      <w:lang w:eastAsia="en-U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eastAsia="Calibri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Calibri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Vani" w:hAnsi="Vani" w:cs="Vani"/>
      <w:sz w:val="24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Times New Roman" w:hAnsi="Times New Roman" w:eastAsia="Calibri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Vani" w:hAnsi="Vani" w:cs="Vani"/>
      <w:sz w:val="24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Times New Roman" w:hAnsi="Times New Roman" w:eastAsia="Calibri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Times New Roman" w:hAnsi="Times New Roman" w:eastAsia="Calibri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Vani" w:hAnsi="Vani" w:cs="Vani"/>
      <w:sz w:val="24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lang w:val="en-US" w:eastAsia="en-US"/>
    </w:rPr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  <w:jc w:val="center"/>
    </w:pPr>
    <w:rPr>
      <w:rFonts w:ascii="Calibri" w:hAnsi="Calibri" w:eastAsia="Calibri" w:cs="Calibri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2018-02-15T14:08:00Z</dcterms:created>
  <dc:creator>A</dc:creator>
  <dc:description/>
  <cp:keywords/>
  <dc:language>en-US</dc:language>
  <cp:lastModifiedBy>Employee</cp:lastModifiedBy>
  <cp:lastPrinted>2010-10-29T13:21:00Z</cp:lastPrinted>
  <dcterms:modified xsi:type="dcterms:W3CDTF">2023-02-14T13:45:00Z</dcterms:modified>
  <cp:revision>21</cp:revision>
  <dc:subject/>
  <dc:title>                                </dc:title>
</cp:coreProperties>
</file>