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Partecipazione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60H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DI PRIMA FORMAZIONE PROFESSIONALE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Aree tematiche trattate: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contrattuale e prodotti.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giuridica.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tecnica assicurativa e riassicurativa.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amministrativa e gestionale.</w:t>
      </w:r>
    </w:p>
    <w:p>
      <w:pPr>
        <w:pStyle w:val="ListParagraph"/>
        <w:numPr>
          <w:ilvl w:val="0"/>
          <w:numId w:val="1"/>
        </w:numPr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Area informatica.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Docenti: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Russo, Avv. C. Gugliotta, Dott.ssa C. di Vico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i docenti hanno maturato una comprovata esperienza oltre che quinquennale nelle materie di cui alla lettera a) comma 3 art. 96 del Regolamento IVASS n. 40/2018.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  <w:bookmarkStart w:id="0" w:name="_GoBack"/>
      <w:bookmarkEnd w:id="0"/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7"/>
        </w:numPr>
        <w:spacing w:lineRule="auto" w:line="240" w:before="0" w:after="0"/>
        <w:ind w:left="1276" w:hanging="283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contrattuale e prodotti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danni (coperture, costi ed esclusioni), compresi i rischi accessori coperti con tali polizze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dei prodotti di investimento assicurativi (coperture, costi ed esclusioni), compresi la conoscenza dei premi netti, i benefici garantiti e non garantiti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Condizioni contrattuali delle polizze vita (coperture, costi ed esclusioni), compresi i benefici garantiti e i rischi accessori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delle esigenze dei consumatori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vantaggi e degli svantaggi delle diverse opzioni di investimento per 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Valutazione dei rischi finanziari sostenuti dagli assicurati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Mercato delle assicurazioni e mercato dei prodotti di risparmio e dei servizi finanziari</w:t>
      </w:r>
    </w:p>
    <w:p>
      <w:pPr>
        <w:pStyle w:val="Normal"/>
        <w:numPr>
          <w:ilvl w:val="0"/>
          <w:numId w:val="5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Organizzazione e benefici garantiti dal sistema pensionistico dello Stato italiano</w:t>
      </w:r>
    </w:p>
    <w:p>
      <w:pPr>
        <w:pStyle w:val="Normal"/>
        <w:spacing w:lineRule="auto" w:line="240" w:before="0" w:after="0"/>
        <w:ind w:left="1985"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giuridica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Solvency II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Esercizio dell’impresa assicurativa in Italia e all’estero – stabilimento e servizi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Impresa di riassicurazione - condizioni di accesso e di esercizio e regime di operatività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Controlli sull’impresa di 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che disciplinano 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assicurativa e riassicurativa - condizioni di accesso e di esercizio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Disciplina normativa in materia di POG e regole di comportamento per gli intermediari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Sanzioni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Conoscenza degli standard di etica professionale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Contratto di assicurazione e di riassicurazione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in materia di protezione e tutela del consumatore e Codice del consumo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Antiriciclaggio e contrasto al finanziamento del terrorismo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Intermediazione del credito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Norme tributarie, sociali e del lavoro pertinenti alla distribuzione dei prodotti assicurativi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Normativa in materia di protezione dei dati personali</w:t>
      </w:r>
    </w:p>
    <w:p>
      <w:pPr>
        <w:pStyle w:val="Normal"/>
        <w:numPr>
          <w:ilvl w:val="0"/>
          <w:numId w:val="3"/>
        </w:numPr>
        <w:spacing w:lineRule="auto" w:line="240" w:before="0" w:after="0"/>
        <w:ind w:left="2007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Vigilanza sulle imprese e sugli intermediari</w:t>
      </w:r>
    </w:p>
    <w:p>
      <w:pPr>
        <w:pStyle w:val="Normal"/>
        <w:spacing w:lineRule="auto" w:line="240" w:before="0" w:after="0"/>
        <w:ind w:right="850" w:hanging="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tecnica assicurativa e riassicurativa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Classificazione per rami di attività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contro i danni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Assicurazioni obbligatorie e novità nel settore rc auto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Principali tipologie di coperture riassicurative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tariffari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tecniche di analisi dei rischi</w:t>
      </w:r>
    </w:p>
    <w:p>
      <w:pPr>
        <w:pStyle w:val="Normal"/>
        <w:numPr>
          <w:ilvl w:val="0"/>
          <w:numId w:val="4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Trattamento fiscale dei vari tipi di polizze vita e prodotti pensionistici</w:t>
      </w:r>
    </w:p>
    <w:p>
      <w:pPr>
        <w:pStyle w:val="Normal"/>
        <w:spacing w:lineRule="auto" w:line="240" w:before="0" w:after="0"/>
        <w:ind w:left="360" w:right="850" w:hanging="0"/>
        <w:jc w:val="both"/>
        <w:rPr>
          <w:rFonts w:ascii="Times New Roman" w:hAnsi="Times New Roman" w:eastAsia="Calibri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amministrativa e gestionale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Ciclo operativo ed economico delle imprese di assicurazione e riassicurazione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Elementi di contabilità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Procedure e modalità assuntive e distributive adottate dall’impresa/e con cui l’intermediario opera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Programmazione, analisi e controllo di gestione dell’intermediario assicurativo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reclami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Sistemi alternativi di risoluzione delle liti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sinistri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del rischio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Gestione dei rapporti con il cliente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Calibri" w:cs="Times New Roman" w:ascii="Times New Roman" w:hAnsi="Times New Roman"/>
          <w:sz w:val="24"/>
        </w:rPr>
        <w:t>Marketing e tecniche di comunicazione</w:t>
      </w:r>
    </w:p>
    <w:p>
      <w:pPr>
        <w:pStyle w:val="Normal"/>
        <w:numPr>
          <w:ilvl w:val="0"/>
          <w:numId w:val="6"/>
        </w:numPr>
        <w:spacing w:lineRule="auto" w:line="240" w:before="0" w:after="0"/>
        <w:ind w:left="1985" w:right="850" w:hanging="284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>Capacità di ascoltare e decodificare i bisogni della clientela</w:t>
      </w:r>
    </w:p>
    <w:p>
      <w:pPr>
        <w:pStyle w:val="Normal"/>
        <w:spacing w:lineRule="auto" w:line="240" w:before="0" w:after="0"/>
        <w:ind w:left="1985" w:right="850" w:hanging="0"/>
        <w:jc w:val="both"/>
        <w:rPr>
          <w:rFonts w:ascii="Times New Roman" w:hAnsi="Times New Roman" w:eastAsia="Times New Roman" w:cs="Times New Roman"/>
          <w:sz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lang w:eastAsia="it-IT"/>
        </w:rPr>
      </w:r>
    </w:p>
    <w:p>
      <w:pPr>
        <w:pStyle w:val="Normal"/>
        <w:numPr>
          <w:ilvl w:val="0"/>
          <w:numId w:val="7"/>
        </w:numPr>
        <w:spacing w:lineRule="auto" w:line="240" w:before="0" w:after="0"/>
        <w:ind w:left="1276" w:right="850" w:hanging="360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Area informatica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Strumenti di Office Automation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Navigazione web e utilizzo di internet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Applicazioni/procedure e altre tecnologie predisposte dall’impresa/e con cui l’intermediario opera</w:t>
      </w:r>
    </w:p>
    <w:p>
      <w:pPr>
        <w:pStyle w:val="Normal"/>
        <w:numPr>
          <w:ilvl w:val="0"/>
          <w:numId w:val="2"/>
        </w:numPr>
        <w:spacing w:lineRule="auto" w:line="240" w:before="0" w:after="0"/>
        <w:ind w:left="1985" w:right="850" w:hanging="284"/>
        <w:contextualSpacing/>
        <w:jc w:val="both"/>
        <w:rPr>
          <w:rFonts w:ascii="Times New Roman" w:hAnsi="Times New Roman" w:eastAsia="Calibri" w:cs="Times New Roman"/>
          <w:sz w:val="24"/>
        </w:rPr>
      </w:pPr>
      <w:r>
        <w:rPr>
          <w:rFonts w:eastAsia="Calibri" w:cs="Times New Roman" w:ascii="Times New Roman" w:hAnsi="Times New Roman"/>
          <w:sz w:val="24"/>
        </w:rPr>
        <w:t>Sicurezza informatica e protezione dei dati (durata 6h)</w:t>
      </w:r>
    </w:p>
    <w:p>
      <w:pPr>
        <w:pStyle w:val="Normal"/>
        <w:spacing w:lineRule="auto" w:line="240" w:before="0" w:after="160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4"/>
      <w:footerReference w:type="default" r:id="rId5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  <w:lang w:val="en-US"/>
      </w:rPr>
    </w:pPr>
    <w:r>
      <w:rPr>
        <w:rFonts w:cs="Times New Roman" w:ascii="Times New Roman" w:hAnsi="Times New Roman"/>
        <w:b/>
        <w:bCs/>
        <w:i/>
        <w:iCs/>
        <w:sz w:val="24"/>
        <w:szCs w:val="24"/>
        <w:lang w:val="en-US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Via Crescenzio, 25 - 00193 Roma (RM)</w:t>
      <w:br/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3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-"/>
      <w:lvlJc w:val="left"/>
      <w:pPr>
        <w:tabs>
          <w:tab w:val="num" w:pos="0"/>
        </w:tabs>
        <w:ind w:left="2007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2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47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67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8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607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27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4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67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-"/>
      <w:lvlJc w:val="left"/>
      <w:pPr>
        <w:tabs>
          <w:tab w:val="num" w:pos="0"/>
        </w:tabs>
        <w:ind w:left="2705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34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4145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865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5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6305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7025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7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8465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95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515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235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95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75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95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115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835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555" w:hanging="18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d62307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d62307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739ec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739ec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1544E6-722E-48A1-99A9-C53660468B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LibreOffice/6.4.7.2$Linux_X86_64 LibreOffice_project/40$Build-2</Application>
  <Pages>3</Pages>
  <Words>571</Words>
  <Characters>3256</Characters>
  <CharactersWithSpaces>3820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Employee</cp:lastModifiedBy>
  <cp:lastPrinted>2025-01-10T11:14:00Z</cp:lastPrinted>
  <dcterms:modified xsi:type="dcterms:W3CDTF">2025-06-16T12:00:00Z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