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60H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DI PRIMA FORMAZIONE PROFESSIONALE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60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Russo, Avv. C. Gugliotta,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CF [CF], frequentate le 60 ore di prima formazione con modalità di e-learning sulla piattaforma didattica di RB Consulting Srl, ha svolto il test di verifica finale relativo al corso di prima formazione ai fini IVASS.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aula virtuale equipollente all’aula,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candidato, ha eseguito il test senza l’ausilio di alcun supporto cartaceo e/o elettronico, né l’utilizzo di telefoni cellulari, superando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ind w:left="1276" w:hanging="283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 (coperture, costi ed esclusioni), compresi i benefici garantiti e i rischi accessori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Fondo di garanzia assicurativo dei rami vita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delle esigenze dei consumatori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vantaggi e degli svantaggi delle diverse opzioni di investimento per gli assicurati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rischi finanziari sostenuti dagli assicurati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Esercizio dell’impresa assicurativa in Italia e all’estero – stabilimento e servizi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Impresa di riassicurazione - condizioni di accesso e di esercizio e regime di operatività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Controlli sull’impresa di 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che disciplinano 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 - condizioni di accesso e di esercizio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Registro degli intermediari assicurativi e riassicurativi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Regole di comportamento degli intermediari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Disciplina normativa in materia di POG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Sanzioni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Conoscenza degli standard di etica professionale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Contratto di assicurazione e di riassicurazione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in materia di protezione e tutela del consumatore e Codice del consumo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contrasto al finanziamento del terrorismo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del credito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tributarie, sociali e del lavoro pertinenti alla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Normativa in materia di protezione dei dati personali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Vigilanza sulle imprese e sugli intermediari</w:t>
      </w:r>
      <w:r>
        <w:br w:type="page"/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Classificazione per rami di attività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contro i danni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 xml:space="preserve">Assicurazioni obbligatorie 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Assicurazione obbligatoria eventi catastrofali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riassicurative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tariffari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tecniche di analisi dei rischi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Trattamento fiscale dei vari tipi di polizze vita e prodotti pensionistici</w:t>
      </w:r>
    </w:p>
    <w:p>
      <w:pPr>
        <w:pStyle w:val="Normal"/>
        <w:spacing w:lineRule="auto" w:line="240" w:before="0" w:after="0"/>
        <w:ind w:left="360" w:right="850" w:hanging="0"/>
        <w:jc w:val="both"/>
        <w:rPr>
          <w:rFonts w:ascii="Times New Roman" w:hAnsi="Times New Roman" w:eastAsia="Calibri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Ciclo operativo ed economico delle imprese di assicurazione e riassicurazione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contabilità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Programmazione, analisi e controllo di gestione dell’intermediario assicurativo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reclami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Sistemi alternativi di risoluzione delle liti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sinistri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del rischio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rapporti con il cliente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</w:rPr>
        <w:t>Marketing e tecniche di comunicazione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Capacità di ascoltare e decodificare i bisogni della clientela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Strumenti di Office Automation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Navigazione web e utilizzo di internet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Applicazioni/procedure e altre tecnologie predisposte dall’impresa/e con cui l’intermediario opera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Normal"/>
        <w:spacing w:lineRule="auto" w:line="240"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  <w:lang w:val="en-US"/>
      </w:rPr>
    </w:pPr>
    <w:r>
      <w:rPr>
        <w:rFonts w:cs="Times New Roman" w:ascii="Times New Roman" w:hAnsi="Times New Roman"/>
        <w:b/>
        <w:bCs/>
        <w:i/>
        <w:iCs/>
        <w:sz w:val="24"/>
        <w:szCs w:val="24"/>
        <w:lang w:val="en-US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  <w:br/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9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4BBCE-CC13-4AE8-A554-DAF752F32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4</Pages>
  <Words>810</Words>
  <Characters>4620</Characters>
  <CharactersWithSpaces>5420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2025-01-10T11:14:00Z</cp:lastPrinted>
  <dcterms:modified xsi:type="dcterms:W3CDTF">2025-04-02T10:28:00Z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