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Partecipazione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partecipato al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PREPARAZIONE ALL’ESAME IVASS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PER L’ISCRIZIONE ALLA SEZ. A O B DEL RUI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(Non valido ai fini dell’aggiornamento annuale IVASS)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Corso svolto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Normal"/>
        <w:spacing w:lineRule="auto" w:line="240" w:before="0" w:after="0"/>
        <w:ind w:right="425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Modulo assicurativo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right="425" w:hanging="425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diritto delle assicurazioni, inclusa la disciplina regolamentare emanata dall’Istituto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right="425" w:hanging="425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disciplina della previdenza complementare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right="425" w:hanging="425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disciplina dell’attività di agenzia e di mediazione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right="425" w:hanging="425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tecnica assicurativa (rami vita e danni)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right="425" w:hanging="425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disciplina della tutela del consumatore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right="425" w:hanging="425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nozioni di diritto privato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right="425" w:hanging="425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nozioni di diritto tributario riguardanti la materia assicurativa e la previdenza complementare</w:t>
      </w:r>
    </w:p>
    <w:p>
      <w:pPr>
        <w:pStyle w:val="Normal"/>
        <w:spacing w:lineRule="auto" w:line="240" w:before="0" w:after="0"/>
        <w:ind w:right="425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Modulo riassicurativo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right="425" w:hanging="425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disciplina del contratto di riassicurazione e tipologie di riassicurazione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567" w:right="425" w:hanging="425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tecnica riassicurativa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Prof. Avv. G. Russo, Avv. C. Gugliotta, Dott.ssa C. di Vico, Avv. A. Sgueglia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i docenti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tabs>
          <w:tab w:val="clear" w:pos="708"/>
          <w:tab w:val="left" w:pos="4308" w:leader="none"/>
        </w:tabs>
        <w:spacing w:before="0" w:after="16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ab/>
      </w:r>
    </w:p>
    <w:sectPr>
      <w:headerReference w:type="default" r:id="rId4"/>
      <w:footerReference w:type="default" r:id="rId5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198</Words>
  <Characters>1135</Characters>
  <CharactersWithSpaces>1331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2023-01-09T10:29:00Z</dcterms:created>
  <dc:creator>carmela</dc:creator>
  <dc:description/>
  <dc:language>en-US</dc:language>
  <cp:lastModifiedBy>carmela</cp:lastModifiedBy>
  <cp:lastPrinted>2023-01-09T09:22:00Z</cp:lastPrinted>
  <dcterms:modified xsi:type="dcterms:W3CDTF">2023-05-11T09:39:00Z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