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ANTIRICICLAGGIO E ANTITERRORISMO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1 ora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delitto di riciclaggio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Direttive antiriciclaggio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Soggetti obbligati e obblighi rilevanti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Sistema sanzionatorio</w:t>
      </w:r>
    </w:p>
    <w:p>
      <w:pPr>
        <w:pStyle w:val="ListParagraph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100</Words>
  <Characters>570</Characters>
  <CharactersWithSpaces>669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2023-11-27T12:10:00Z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