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15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2024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tabs>
          <w:tab w:val="clear" w:pos="708"/>
          <w:tab w:val="left" w:pos="3804" w:leader="none"/>
          <w:tab w:val="center" w:pos="5102" w:leader="none"/>
        </w:tabs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it-IT"/>
        </w:rPr>
        <w:tab/>
      </w: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bancaria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 xml:space="preserve">La disciplina antiriciclaggio 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Servizi di pagamento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gestionali dell’impresa di assicurazione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Privacy (GDPR)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Tutela dei consumatori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Deontologia e correttezza professionale nei rapporti con la clientela</w:t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270</Words>
  <Characters>1540</Characters>
  <CharactersWithSpaces>1807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2023-11-27T11:03:00Z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