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15 ORE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della Circolare n. 19/14 dell’OAM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Durata del corso</w:t>
      </w:r>
      <w:r>
        <w:rPr>
          <w:rFonts w:cs="Times New Roman" w:ascii="Times New Roman" w:hAnsi="Times New Roman"/>
          <w:sz w:val="24"/>
          <w:szCs w:val="24"/>
        </w:rPr>
        <w:t>: 15 ore in modalità e-learning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Anno di riferimento:</w:t>
      </w:r>
      <w:r>
        <w:rPr>
          <w:rFonts w:cs="Times New Roman" w:ascii="Times New Roman" w:hAnsi="Times New Roman"/>
          <w:sz w:val="24"/>
          <w:szCs w:val="24"/>
        </w:rPr>
        <w:t xml:space="preserve"> 2025</w:t>
      </w:r>
    </w:p>
    <w:p>
      <w:pPr>
        <w:pStyle w:val="Normal"/>
        <w:spacing w:lineRule="auto" w:line="240" w:before="0" w:after="0"/>
        <w:ind w:left="1364" w:right="425" w:hanging="0"/>
        <w:jc w:val="both"/>
        <w:rPr>
          <w:rFonts w:ascii="Times New Roman" w:hAnsi="Times New Roman" w:cs="Times New Roman"/>
          <w:sz w:val="20"/>
        </w:rPr>
      </w:pPr>
      <w:r>
        <w:rPr>
          <w:rFonts w:cs="Times New Roman" w:ascii="Times New Roman" w:hAnsi="Times New Roman"/>
          <w:sz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Dott.ssa C. di Vico, Avv. C. Gugliotta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Soggetto iscritto negli Elenchi</w:t>
      </w:r>
      <w:r>
        <w:rPr>
          <w:rFonts w:cs="Times New Roman" w:ascii="Times New Roman" w:hAnsi="Times New Roman"/>
          <w:sz w:val="24"/>
          <w:szCs w:val="24"/>
        </w:rPr>
        <w:t xml:space="preserve"> per conto del quale il partecipante al corso esercita l’attività (ove di tratti di un soggetto diverso dal partecipante): 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 xml:space="preserve">Roma, lì DATECERT                                                                        </w:t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4653280</wp:posOffset>
            </wp:positionH>
            <wp:positionV relativeFrom="paragraph">
              <wp:posOffset>392430</wp:posOffset>
            </wp:positionV>
            <wp:extent cx="1692275" cy="935990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2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480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Firma del partecipante                                                     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  <w:r>
        <w:br w:type="page"/>
      </w:r>
    </w:p>
    <w:p>
      <w:pPr>
        <w:pStyle w:val="Normal"/>
        <w:tabs>
          <w:tab w:val="clear" w:pos="708"/>
          <w:tab w:val="left" w:pos="3804" w:leader="none"/>
          <w:tab w:val="center" w:pos="5102" w:leader="none"/>
        </w:tabs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sz w:val="40"/>
          <w:szCs w:val="40"/>
          <w:lang w:eastAsia="it-IT"/>
        </w:rPr>
        <w:tab/>
      </w:r>
      <w:r>
        <w:rPr>
          <w:rFonts w:eastAsia="Times New Roman" w:cs="Times New Roman" w:ascii="Times New Roman" w:hAnsi="Times New Roman"/>
          <w:b/>
          <w:bCs/>
          <w:sz w:val="40"/>
          <w:szCs w:val="40"/>
          <w:u w:val="single"/>
          <w:lang w:eastAsia="it-IT"/>
        </w:rPr>
        <w:t>P</w:t>
      </w: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alla Circolare n. 19/14 dell’OAM e aggiornato alle ultime novità normative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32"/>
        </w:rPr>
      </w:pPr>
      <w:r>
        <w:rPr>
          <w:rFonts w:cs="Times New Roman" w:ascii="Times New Roman" w:hAnsi="Times New Roman"/>
          <w:sz w:val="24"/>
          <w:szCs w:val="32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sistema finanziario</w:t>
      </w:r>
      <w:bookmarkStart w:id="0" w:name="_Hlk181608865"/>
      <w:bookmarkEnd w:id="0"/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Vigilanza sul sistema finanziario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Aspetti tecnici e normativi delle forme di finanziamento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Trasparenza bancaria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Il fabbisogno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valutazione del merito creditizio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 xml:space="preserve">La disciplina antiriciclaggio 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antiusura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Servizi di pagamento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Distribuzione assicurativa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Arbitro bancario e finanziario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Privacy (GDPR)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La disciplina della responsabilità amministrativa delle persone giuridiche, delle società e delle associazioni anche prive di personalità giuridica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Tutela dei consumatori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Organizzazione e funzionamento dei registri immobiliari e adempimenti relativi alla compravendita di immobili</w:t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ind w:left="1276" w:hanging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•</w:t>
      </w:r>
      <w:r>
        <w:rPr>
          <w:rFonts w:cs="Times New Roman" w:ascii="Times New Roman" w:hAnsi="Times New Roman"/>
          <w:sz w:val="24"/>
          <w:szCs w:val="24"/>
        </w:rPr>
        <w:tab/>
        <w:t>Deontologia e correttezza professionale nei rapporti con la clientela</w:t>
      </w:r>
    </w:p>
    <w:sectPr>
      <w:headerReference w:type="default" r:id="rId3"/>
      <w:footerReference w:type="default" r:id="rId4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2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61bfc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D48A4E-726D-49CB-BE9B-EABD7B1F4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2</Pages>
  <Words>269</Words>
  <Characters>1538</Characters>
  <CharactersWithSpaces>1804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2024-11-04T09:35:00Z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