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lang w:val="en-US" w:eastAsia="en-US"/>
        </w:rPr>
      </w:pPr>
      <w:r>
        <w:rPr>
          <w:rFonts w:cs="Verdana" w:ascii="Verdana" w:hAnsi="Verdana"/>
          <w:sz w:val="22"/>
          <w:szCs w:val="40"/>
        </w:rPr>
        <w:t>(Aggiornata e modificata il 30 ottobre 2019)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28"/>
          <w:lang w:val="en-US" w:eastAsia="en-US"/>
        </w:rPr>
      </w:pPr>
      <w:r>
        <w:rPr>
          <w:b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30 ore in modalità e-learning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2021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M. Bello – Avv. A. Sgueglia – Avv. T. Santoro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conforme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e modificata il 30 ottobre 2019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4"/>
        </w:numPr>
        <w:ind w:left="1418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 e l’intermediazione del credito</w:t>
      </w:r>
    </w:p>
    <w:p>
      <w:pPr>
        <w:pStyle w:val="Normal"/>
        <w:numPr>
          <w:ilvl w:val="0"/>
          <w:numId w:val="7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finanziario, l’intermediazione del credito, intermediari bancari, finanziari e del credito, agenti in attività finanziaria e mediatori creditizi, sistema istituzionale preposto alla regolazione e al controllo del sistema finanziario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4"/>
        </w:numPr>
        <w:ind w:left="3270" w:hanging="2277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Aspetti tecnici e normativi delle forme di finanziamento</w:t>
      </w:r>
    </w:p>
    <w:p>
      <w:pPr>
        <w:pStyle w:val="Normal"/>
        <w:numPr>
          <w:ilvl w:val="0"/>
          <w:numId w:val="2"/>
        </w:numPr>
        <w:ind w:left="1843" w:hanging="425"/>
        <w:rPr/>
      </w:pPr>
      <w:r>
        <w:rPr>
          <w:rFonts w:eastAsia="Calibri"/>
          <w:sz w:val="22"/>
          <w:szCs w:val="22"/>
          <w:lang w:eastAsia="en-US"/>
        </w:rPr>
        <w:t>Mutui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e correttezza nelle relazioni con la clientela</w:t>
      </w:r>
    </w:p>
    <w:p>
      <w:pPr>
        <w:pStyle w:val="Normal"/>
        <w:numPr>
          <w:ilvl w:val="0"/>
          <w:numId w:val="5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bancaria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Valutazione del merito creditizio</w:t>
      </w:r>
    </w:p>
    <w:p>
      <w:pPr>
        <w:pStyle w:val="Normal"/>
        <w:numPr>
          <w:ilvl w:val="0"/>
          <w:numId w:val="5"/>
        </w:numPr>
        <w:ind w:left="1843" w:hanging="425"/>
        <w:rPr/>
      </w:pPr>
      <w:r>
        <w:rPr>
          <w:rFonts w:eastAsia="Calibri"/>
          <w:sz w:val="22"/>
          <w:szCs w:val="22"/>
          <w:lang w:eastAsia="en-US"/>
        </w:rPr>
        <w:t>Crisi dell’impresa, valutazione del merito creditizio, analisi quantitativa e qualitativa e andamentale, composizione della crisi da sovraindebitamento</w:t>
      </w:r>
    </w:p>
    <w:p>
      <w:pPr>
        <w:pStyle w:val="Normal"/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antiriciclaggio ed antiusura</w:t>
      </w:r>
    </w:p>
    <w:p>
      <w:pPr>
        <w:pStyle w:val="Normal"/>
        <w:numPr>
          <w:ilvl w:val="0"/>
          <w:numId w:val="3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Titolarità effettiva e specifiche sul titolare effettivo, nuove misure di adeguata verifica rafforzata per intermediari bancari o finanziari, vigilanza e controlli, antiriciclaggio e GDPR, disciplina antiusura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servizi di pagamento</w:t>
      </w:r>
    </w:p>
    <w:p>
      <w:pPr>
        <w:pStyle w:val="Normal"/>
        <w:numPr>
          <w:ilvl w:val="0"/>
          <w:numId w:val="1"/>
        </w:numPr>
        <w:ind w:left="1854" w:hanging="436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PSD 2, trasparenza e obblighi di informazione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tema di intermediazione assicurativa</w:t>
      </w:r>
    </w:p>
    <w:p>
      <w:pPr>
        <w:pStyle w:val="Normal"/>
        <w:numPr>
          <w:ilvl w:val="0"/>
          <w:numId w:val="2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Principali tipologie di coperture assicurative, assicurazione rc in ambito professionale, obblighi imposti dalla IDD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reclami e dell’Arbitro bancario e finanziario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materia di protezione dei dati personali (GDPR)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vigente in materia di tutela dei consumatori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Organizzazione e funzionamento dei registri immobiliari e adempimenti relativi alla compravendita di immobili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Deontologia e correttezza professionale nei rapporti con la clientela</w:t>
      </w:r>
    </w:p>
    <w:p>
      <w:pPr>
        <w:pStyle w:val="Normal"/>
        <w:rPr>
          <w:rFonts w:eastAsia="Calibri"/>
          <w:b/>
          <w:b/>
          <w:i/>
          <w:i/>
          <w:sz w:val="28"/>
          <w:szCs w:val="28"/>
          <w:lang w:val="en-US" w:eastAsia="en-US"/>
        </w:rPr>
      </w:pPr>
      <w:r>
        <w:rPr>
          <w:rFonts w:eastAsia="Calibri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708"/>
        </w:tabs>
        <w:ind w:left="1854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8"/>
        </w:tabs>
        <w:ind w:left="327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eastAsia="Calibri" w:cs="Symbol"/>
      <w:sz w:val="22"/>
      <w:szCs w:val="22"/>
      <w:lang w:eastAsia="en-U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aragrafoelenco">
    <w:name w:val="Paragrafo elenco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2018-06-05T17:16:00Z</dcterms:created>
  <dc:creator>A</dc:creator>
  <dc:description/>
  <cp:keywords/>
  <dc:language>en-US</dc:language>
  <cp:lastModifiedBy>utente</cp:lastModifiedBy>
  <cp:lastPrinted>2018-07-24T12:48:00Z</cp:lastPrinted>
  <dcterms:modified xsi:type="dcterms:W3CDTF">2021-02-16T13:49:00Z</dcterms:modified>
  <cp:revision>16</cp:revision>
  <dc:subject/>
  <dc:title>                                </dc:title>
</cp:coreProperties>
</file>