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della Circolare n. 19/14 dell’OAM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lang w:val="en-US" w:eastAsia="en-US"/>
        </w:rPr>
      </w:pPr>
      <w:r>
        <w:rPr>
          <w:rFonts w:cs="Verdana" w:ascii="Verdana" w:hAnsi="Verdana"/>
          <w:sz w:val="22"/>
          <w:szCs w:val="40"/>
        </w:rPr>
        <w:t>(Aggiornata e modificata il 30 ottobre 2019)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28"/>
          <w:lang w:val="en-US" w:eastAsia="en-US"/>
        </w:rPr>
      </w:pPr>
      <w:r>
        <w:rPr>
          <w:b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>30 ore in modalità e-learning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2022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A. Sgueglia 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conforme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e modificata il 30 ottobre 2019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3"/>
        </w:numPr>
        <w:ind w:left="1418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Il sistema finanziario e l’intermediazione del credito</w:t>
      </w:r>
    </w:p>
    <w:p>
      <w:pPr>
        <w:pStyle w:val="Normal"/>
        <w:numPr>
          <w:ilvl w:val="0"/>
          <w:numId w:val="6"/>
        </w:numPr>
        <w:ind w:left="1843" w:hanging="425"/>
        <w:rPr>
          <w:rFonts w:eastAsia="Calibri"/>
        </w:rPr>
      </w:pPr>
      <w:r>
        <w:rPr>
          <w:rFonts w:eastAsia="Calibri"/>
          <w:sz w:val="22"/>
          <w:szCs w:val="22"/>
          <w:lang w:eastAsia="en-US"/>
        </w:rPr>
        <w:t>Ser</w:t>
      </w:r>
      <w:r>
        <w:rPr>
          <w:rFonts w:eastAsia="Calibri"/>
        </w:rPr>
        <w:t>vizi e attività di investimento, regole per la prestazione, gestione collettiva del risparmio, mercati regolamentati e mercati di borsa, attività bancaria, intermediazione del credito, intermediari bancari, finanziari e del credito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3"/>
        </w:numPr>
        <w:ind w:left="3270" w:hanging="2277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Aspetti tecnici e normativi delle forme di finanziamento</w:t>
      </w:r>
    </w:p>
    <w:p>
      <w:pPr>
        <w:pStyle w:val="Normal"/>
        <w:numPr>
          <w:ilvl w:val="0"/>
          <w:numId w:val="2"/>
        </w:numPr>
        <w:ind w:left="1843" w:hanging="425"/>
        <w:jc w:val="both"/>
        <w:rPr/>
      </w:pPr>
      <w:r>
        <w:rPr>
          <w:rFonts w:eastAsia="Calibri"/>
          <w:sz w:val="22"/>
          <w:szCs w:val="22"/>
          <w:lang w:eastAsia="en-US"/>
        </w:rPr>
        <w:t>Mutui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Trasparenza e correttezza nelle relazioni con la clientela</w:t>
      </w:r>
    </w:p>
    <w:p>
      <w:pPr>
        <w:pStyle w:val="Normal"/>
        <w:numPr>
          <w:ilvl w:val="0"/>
          <w:numId w:val="4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Trasparenza bancaria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Valutazione del merito creditizio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antiriciclaggio ed antiusura</w:t>
      </w:r>
    </w:p>
    <w:p>
      <w:pPr>
        <w:pStyle w:val="Normal"/>
        <w:numPr>
          <w:ilvl w:val="0"/>
          <w:numId w:val="4"/>
        </w:numPr>
        <w:ind w:left="1843" w:hanging="425"/>
        <w:jc w:val="both"/>
        <w:rPr/>
      </w:pPr>
      <w:r>
        <w:rPr>
          <w:rFonts w:eastAsia="Calibri"/>
          <w:sz w:val="22"/>
          <w:szCs w:val="22"/>
          <w:lang w:eastAsia="en-US"/>
        </w:rPr>
        <w:t>Riciclaggio, finanziamento del terrorismo, V Direttiva, Aspetti generali degli obblighi in capo ai destinatari, disciplina antiusura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servizi di pagamento</w:t>
      </w:r>
    </w:p>
    <w:p>
      <w:pPr>
        <w:pStyle w:val="Normal"/>
        <w:numPr>
          <w:ilvl w:val="0"/>
          <w:numId w:val="1"/>
        </w:numPr>
        <w:ind w:left="1854" w:hanging="436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PSD 2, anagrafe dei rapporti e indagini finanziarie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tema di intermediazione assicurativa</w:t>
      </w:r>
    </w:p>
    <w:p>
      <w:pPr>
        <w:pStyle w:val="Normal"/>
        <w:numPr>
          <w:ilvl w:val="0"/>
          <w:numId w:val="2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gestione dei sinistri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reclami e dell’Arbitro bancario e finanziario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materia di protezione dei dati personali (GDPR)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vigente in materia di tutela dei consumatori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Organizzazione e funzionamento dei registri immobiliari e adempimenti relativi alla compravendita di immobili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5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Deontologia e correttezza professionale nei rapporti con la clientela</w:t>
      </w:r>
    </w:p>
    <w:p>
      <w:pPr>
        <w:pStyle w:val="Normal"/>
        <w:rPr>
          <w:rFonts w:eastAsia="Calibri"/>
          <w:b/>
          <w:b/>
          <w:i/>
          <w:i/>
          <w:sz w:val="28"/>
          <w:szCs w:val="28"/>
          <w:lang w:val="en-US" w:eastAsia="en-US"/>
        </w:rPr>
      </w:pPr>
      <w:r>
        <w:rPr>
          <w:rFonts w:eastAsia="Calibri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708"/>
        </w:tabs>
        <w:ind w:left="1854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8"/>
        </w:tabs>
        <w:ind w:left="327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4404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eastAsia="Calibri" w:cs="Wingdings"/>
      <w:sz w:val="22"/>
      <w:szCs w:val="22"/>
      <w:lang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eastAsia="Calibri" w:cs="Symbol"/>
      <w:sz w:val="22"/>
      <w:szCs w:val="22"/>
      <w:lang w:eastAsia="en-U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Wingdings" w:hAnsi="Wingdings" w:eastAsia="Calibri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2022-01-07T15:09:00Z</dcterms:created>
  <dc:creator>A</dc:creator>
  <dc:description/>
  <cp:keywords/>
  <dc:language>en-US</dc:language>
  <cp:lastModifiedBy>Employee</cp:lastModifiedBy>
  <cp:lastPrinted>2018-07-24T12:48:00Z</cp:lastPrinted>
  <dcterms:modified xsi:type="dcterms:W3CDTF">2024-02-15T11:01:00Z</dcterms:modified>
  <cp:revision>6</cp:revision>
  <dc:subject/>
  <dc:title>                                </dc:title>
</cp:coreProperties>
</file>