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DI AGGIORNAMENTO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PROFESSIONALE 45 ORE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ai sensi della Circolare n. 19/14 dell’OAM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Durata del corso</w:t>
      </w:r>
      <w:r>
        <w:rPr>
          <w:rFonts w:cs="Times New Roman" w:ascii="Times New Roman" w:hAnsi="Times New Roman"/>
          <w:sz w:val="24"/>
          <w:szCs w:val="24"/>
        </w:rPr>
        <w:t>: 45 ore in modalità e-learning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Anno di riferimento:</w:t>
      </w:r>
      <w:r>
        <w:rPr>
          <w:rFonts w:cs="Times New Roman" w:ascii="Times New Roman" w:hAnsi="Times New Roman"/>
          <w:sz w:val="24"/>
          <w:szCs w:val="24"/>
        </w:rPr>
        <w:t xml:space="preserve"> 2025</w:t>
      </w:r>
    </w:p>
    <w:p>
      <w:pPr>
        <w:pStyle w:val="Normal"/>
        <w:spacing w:lineRule="auto" w:line="240" w:before="0" w:after="0"/>
        <w:ind w:left="1364" w:right="425" w:hanging="0"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Docenti:</w:t>
      </w:r>
      <w:r>
        <w:rPr>
          <w:rFonts w:cs="Times New Roman" w:ascii="Times New Roman" w:hAnsi="Times New Roman"/>
          <w:sz w:val="24"/>
          <w:szCs w:val="24"/>
        </w:rPr>
        <w:t xml:space="preserve"> Avv. C. Gugliotta, Avv. A. Sgueglia, Avv. T. Santoro, Dott.ssa C. di Vico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Soggetto iscritto negli Elenchi</w:t>
      </w:r>
      <w:r>
        <w:rPr>
          <w:rFonts w:cs="Times New Roman" w:ascii="Times New Roman" w:hAnsi="Times New Roman"/>
          <w:sz w:val="24"/>
          <w:szCs w:val="24"/>
        </w:rPr>
        <w:t xml:space="preserve"> per conto del quale il partecipante al corso esercita l’attività (ove di tratti di un soggetto diverso dal partecipante): ___________________________________________________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 xml:space="preserve">Roma, lì DATECERT                                                                        </w:t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4653280</wp:posOffset>
            </wp:positionH>
            <wp:positionV relativeFrom="paragraph">
              <wp:posOffset>392430</wp:posOffset>
            </wp:positionV>
            <wp:extent cx="1692275" cy="935990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275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480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Firma del partecipante                                                                    Firma del Responsabile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</w:p>
    <w:p>
      <w:pPr>
        <w:pStyle w:val="Normal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Programma del corso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Corso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conforme alla Circolare n. 19/14 dell’OAM e aggiornato alle ultime novità normative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32"/>
        </w:rPr>
      </w:pPr>
      <w:r>
        <w:rPr>
          <w:rFonts w:cs="Times New Roman" w:ascii="Times New Roman" w:hAnsi="Times New Roman"/>
          <w:sz w:val="24"/>
          <w:szCs w:val="32"/>
        </w:rPr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left="1276" w:hanging="283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Il sistema finanziario e l’intermediazione del credito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701" w:hanging="425"/>
        <w:contextualSpacing/>
        <w:jc w:val="both"/>
        <w:rPr>
          <w:rFonts w:ascii="Times New Roman" w:hAnsi="Times New Roman" w:eastAsia="Calibri" w:cs="Times New Roman"/>
          <w:sz w:val="24"/>
          <w:szCs w:val="24"/>
          <w:lang w:eastAsia="it-IT"/>
        </w:rPr>
      </w:pPr>
      <w:r>
        <w:rPr>
          <w:rFonts w:eastAsia="Calibri" w:cs="Times New Roman" w:ascii="Times New Roman" w:hAnsi="Times New Roman"/>
          <w:sz w:val="24"/>
          <w:szCs w:val="24"/>
        </w:rPr>
        <w:t xml:space="preserve">Sistema finanziario, </w:t>
      </w:r>
      <w:r>
        <w:rPr>
          <w:rFonts w:eastAsia="Calibri" w:cs="Times New Roman" w:ascii="Times New Roman" w:hAnsi="Times New Roman"/>
          <w:sz w:val="24"/>
          <w:szCs w:val="24"/>
          <w:lang w:eastAsia="it-IT"/>
        </w:rPr>
        <w:t>vigilanza sul sistema finanziario, attività bancaria, servizi e attività di investimento, regole per la prestazione, gestione collettiva del risparmio, i mercati regolamentati, gestione del mercato, intermediazione del credito, intermediari bancari, finanziari e del credito, agenti in attività finanziaria e mediatori creditizi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spacing w:lineRule="auto" w:line="240" w:before="0" w:after="0"/>
        <w:ind w:left="1276" w:hanging="283"/>
        <w:contextualSpacing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Aspetti tecnici e normativi delle forme di finanziamento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701" w:hanging="425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Mutui, prestiti personali, affidamenti finalizzati, leasing, factoring, cessione del quinto dello stipendio e della pensione, aperture di credito, carte di credito, deleghe di pagamento, concessione di garanzie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Trasparenza e correttezza nelle relazioni con la clientela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701" w:hanging="425"/>
        <w:contextualSpacing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Disciplina sulla trasparenza bancaria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Valutazione del merito creditizio</w:t>
        <w:br/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La disciplina antiriciclaggio ed antiusura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Disciplina dei servizi di pagamento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701" w:hanging="425"/>
        <w:contextualSpacing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Servizi di pagamento,</w:t>
      </w:r>
      <w:r>
        <w:rPr/>
        <w:t xml:space="preserve"> </w:t>
      </w:r>
      <w:r>
        <w:rPr>
          <w:rFonts w:eastAsia="Calibri" w:cs="Times New Roman" w:ascii="Times New Roman" w:hAnsi="Times New Roman"/>
          <w:sz w:val="24"/>
          <w:szCs w:val="24"/>
        </w:rPr>
        <w:t>prestatore e utilizzatore dei servizi di pagamento, PSD 2</w:t>
      </w:r>
    </w:p>
    <w:p>
      <w:pPr>
        <w:pStyle w:val="ListParagraph"/>
        <w:spacing w:lineRule="auto" w:line="240" w:before="0" w:after="0"/>
        <w:ind w:left="1701" w:hanging="0"/>
        <w:contextualSpacing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La disciplina in tema di intermediazione assicurativa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701" w:hanging="425"/>
        <w:contextualSpacing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Contratto di assicurazione, esercizio dell’impresa assicurativa in Italia e all’estero – stabilimento e servizi, principali tipologie di assicurazioni, condizioni contrattuali dei prodotti di investimento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Disciplina dei reclami e dell’Arbitro bancario e finanziario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La disciplina in materia di protezione dei dati personali (GDPR)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La disciplina della responsabilità amministrativa delle persone giuridiche, delle società e delle associazioni anche prive di personalità giuridica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La disciplina vigente in materia di tutela dei consumatori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Organizzazione e funzionamento dei registri immobiliari e adempimenti relativi alla compravendita di immobili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Deontologia e correttezza professionale nei rapporti con la clientela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701" w:hanging="425"/>
        <w:contextualSpacing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Mifid 2, nozioni di diritto previdenziale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/>
      </w:r>
    </w:p>
    <w:sectPr>
      <w:headerReference w:type="default" r:id="rId3"/>
      <w:footerReference w:type="default" r:id="rId4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2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1713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4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15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87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5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1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03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7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473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D48A4E-726D-49CB-BE9B-EABD7B1F4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2</Pages>
  <Words>430</Words>
  <Characters>2456</Characters>
  <CharactersWithSpaces>2881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2024-12-12T08:46:00Z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