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  <w:u w:val="single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2023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84" w:right="425" w:hanging="279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Riciclaggio, terrorismo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V Direttiva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Strumenti per la lotta al riciclaggio e al finanziamento del terrorismo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Attività di money transfer e i rischi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425" w:hanging="279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PSD 2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Istituti di pagamento, PISP e AISP, agenti di pagamento e IMEL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Strumenti di pagamento digitali, mobile payment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-2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-2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della trasparenza e della tutela del consumatore applicabile ai servizi di pagamento (10%)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284" w:right="425" w:hanging="284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Mifid 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4732020</wp:posOffset>
            </wp:positionH>
            <wp:positionV relativeFrom="paragraph">
              <wp:posOffset>157480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Roma, lì DATE</w:t>
      </w:r>
      <w:bookmarkStart w:id="0" w:name="_GoBack"/>
      <w:bookmarkEnd w:id="0"/>
      <w:r>
        <w:rPr>
          <w:rFonts w:cs="Times New Roman" w:ascii="Times New Roman" w:hAnsi="Times New Roman"/>
          <w:i/>
          <w:iCs/>
          <w:sz w:val="28"/>
          <w:szCs w:val="28"/>
        </w:rPr>
        <w:t xml:space="preserve">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                                     Firma del titolare o legale rappresentante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dell’IP o dell’IMEL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R&amp;B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05744121210 - Numero REA: RM 1289708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c1baf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c1ba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00201-C8E3-47D3-BBEE-0583F1A2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255</Words>
  <Characters>1455</Characters>
  <CharactersWithSpaces>1707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2023-01-09T09:22:00Z</cp:lastPrinted>
  <dcterms:modified xsi:type="dcterms:W3CDTF">2023-01-10T09:51:00Z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