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48"/>
          <w:szCs w:val="48"/>
        </w:rPr>
      </w:pPr>
      <w:r>
        <w:rPr>
          <w:rFonts w:cs="Times New Roman" w:ascii="Times New Roman" w:hAnsi="Times New Roman"/>
          <w:i/>
          <w:iCs/>
          <w:sz w:val="48"/>
          <w:szCs w:val="48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8"/>
          <w:szCs w:val="48"/>
        </w:rPr>
      </w:pPr>
      <w:r>
        <w:rPr>
          <w:rFonts w:cs="Times New Roman" w:ascii="Times New Roman" w:hAnsi="Times New Roman"/>
          <w:i/>
          <w:iCs/>
          <w:sz w:val="48"/>
          <w:szCs w:val="48"/>
        </w:rPr>
        <w:t>CF: idst</w:t>
      </w:r>
      <w:bookmarkStart w:id="0" w:name="_GoBack"/>
      <w:bookmarkEnd w:id="0"/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2024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84" w:right="425" w:hanging="279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Riciclaggio, terrorismo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V Direttiva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Strumenti per la lotta al riciclaggio e al finanziamento del terrorismo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Attività di money transfer e i rischi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425" w:hanging="279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PSD 2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Istituti di pagamento, PISP e AISP, agenti di pagamento e IMEL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Strumenti di pagamento digitali, mobile payment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-2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-2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della trasparenza e della tutela del consumatore applicabile ai servizi di pagamento (10%)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425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Mifid 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4732020</wp:posOffset>
            </wp:positionH>
            <wp:positionV relativeFrom="paragraph">
              <wp:posOffset>157480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                                     Firma del titolare o legale rappresentante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dell’IP o dell’IMEL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d558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d558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4CBD7-B20B-4ECB-B632-BCE537C45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257</Words>
  <Characters>1471</Characters>
  <CharactersWithSpaces>1725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2023-01-09T09:22:00Z</cp:lastPrinted>
  <dcterms:modified xsi:type="dcterms:W3CDTF">2024-04-05T08:10:00Z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