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20"/>
          <w:szCs w:val="40"/>
          <w:u w:val="single"/>
          <w:lang w:val="en-US" w:eastAsia="en-US"/>
        </w:rPr>
      </w:pPr>
      <w:r>
        <w:rPr>
          <w:b/>
          <w:sz w:val="2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sz w:val="72"/>
          <w:szCs w:val="72"/>
          <w:lang w:val="en-US" w:eastAsia="en-US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2"/>
          <w:lang w:val="en-US" w:eastAsia="en-US"/>
        </w:rPr>
      </w:pPr>
      <w:r>
        <w:rPr>
          <w:i/>
          <w:sz w:val="2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autoSpaceDE w:val="false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CORSO PER L’AMMISSIONE</w:t>
        <w:br/>
        <w:t xml:space="preserve">ALLA PROVA D’ESAME OAM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dell’art. 14 del D.Lgs. 13 Agosto 2010 n. 141 e della Circolare n. 19/14</w:t>
      </w:r>
    </w:p>
    <w:p>
      <w:pPr>
        <w:pStyle w:val="Normal"/>
        <w:ind w:left="-539" w:right="-57" w:hanging="0"/>
        <w:jc w:val="center"/>
        <w:rPr/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8"/>
          <w:lang w:val="en-US" w:eastAsia="en-US"/>
        </w:rPr>
      </w:pPr>
      <w:r>
        <w:rPr>
          <w:b/>
          <w:i/>
          <w:sz w:val="20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>10 ore in modalità e-learning e 2 ore di formazione a distanza in autonomia</w:t>
      </w:r>
    </w:p>
    <w:p>
      <w:pPr>
        <w:pStyle w:val="Normal"/>
        <w:ind w:right="425" w:hanging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left="284" w:right="425" w:hanging="0"/>
        <w:jc w:val="both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/>
      </w:pPr>
      <w:r>
        <w:rPr>
          <w:b/>
          <w:bCs/>
        </w:rPr>
        <w:t xml:space="preserve">Esito del test di verifica finale: </w:t>
      </w:r>
      <w:r>
        <w:rPr/>
        <w:t>Positivo</w:t>
      </w:r>
      <w:r>
        <w:rPr>
          <w:b/>
          <w:lang w:val="en-US" w:eastAsia="en-US"/>
        </w:rPr>
        <w:t xml:space="preserve"> </w:t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Avv. C. Gugliotta </w:t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right="425" w:hanging="0"/>
        <w:jc w:val="both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Soggetto iscritto negli Elenchi </w:t>
      </w:r>
      <w:r>
        <w:rPr>
          <w:lang w:val="en-US" w:eastAsia="en-US"/>
        </w:rPr>
        <w:t>per conto del quale il partecipante al corso esercità l’attività (ove si tratti di un soggetto diverso dal partecipante):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>____________________________________________</w:t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8"/>
          <w:lang w:val="en-US" w:eastAsia="en-US"/>
        </w:rPr>
      </w:pPr>
      <w:r>
        <w:rPr>
          <w:b/>
          <w:i/>
          <w:sz w:val="20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4161790</wp:posOffset>
            </wp:positionH>
            <wp:positionV relativeFrom="paragraph">
              <wp:posOffset>163195</wp:posOffset>
            </wp:positionV>
            <wp:extent cx="2665095" cy="63627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09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  <w:r>
        <w:br w:type="page"/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/>
      </w:pPr>
      <w:r>
        <w:rPr>
          <w:i/>
          <w:szCs w:val="26"/>
          <w:lang w:val="en-US" w:eastAsia="en-US"/>
        </w:rPr>
        <w:t xml:space="preserve">*Corso aggiornato alla Circolare n. 19/14 dell’OAM,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aggiornata dal Comitato di Gestione in data 22 maggio 2018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Paragrafoelenco"/>
        <w:numPr>
          <w:ilvl w:val="0"/>
          <w:numId w:val="3"/>
        </w:numPr>
        <w:ind w:left="284" w:hanging="284"/>
        <w:jc w:val="both"/>
        <w:rPr/>
      </w:pPr>
      <w:r>
        <w:rPr>
          <w:rFonts w:cs="Times New Roman" w:ascii="Times New Roman" w:hAnsi="Times New Roman"/>
        </w:rPr>
        <w:t>Il sistema finanziario e l’intermediazione del credito</w:t>
      </w:r>
    </w:p>
    <w:p>
      <w:pPr>
        <w:pStyle w:val="Paragrafoelenco"/>
        <w:numPr>
          <w:ilvl w:val="0"/>
          <w:numId w:val="7"/>
        </w:numPr>
        <w:ind w:left="993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Il sistema finanziario</w:t>
      </w:r>
    </w:p>
    <w:p>
      <w:pPr>
        <w:pStyle w:val="Paragrafoelenco"/>
        <w:numPr>
          <w:ilvl w:val="0"/>
          <w:numId w:val="7"/>
        </w:numPr>
        <w:ind w:left="993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Intermediari bancari, finanziari e del credito</w:t>
      </w:r>
    </w:p>
    <w:p>
      <w:pPr>
        <w:pStyle w:val="Paragrafoelenco"/>
        <w:numPr>
          <w:ilvl w:val="0"/>
          <w:numId w:val="7"/>
        </w:numPr>
        <w:ind w:left="993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Il sistema istituzionale preposto alla regolazione e al controllo del sistema finanziario</w:t>
      </w:r>
    </w:p>
    <w:p>
      <w:pPr>
        <w:pStyle w:val="Paragrafoelenco"/>
        <w:numPr>
          <w:ilvl w:val="0"/>
          <w:numId w:val="7"/>
        </w:numPr>
        <w:ind w:left="993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Agenti in attività finanziaria e mediatori creditizi</w:t>
      </w:r>
    </w:p>
    <w:p>
      <w:pPr>
        <w:pStyle w:val="Paragrafoelenco"/>
        <w:ind w:left="0" w:hanging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3"/>
        </w:numPr>
        <w:ind w:left="284" w:hanging="284"/>
        <w:jc w:val="both"/>
        <w:rPr/>
      </w:pPr>
      <w:r>
        <w:rPr>
          <w:rFonts w:cs="Times New Roman" w:ascii="Times New Roman" w:hAnsi="Times New Roman"/>
        </w:rPr>
        <w:t>Aspetti tecnici e normativi delle forme di finanziamento</w:t>
      </w:r>
    </w:p>
    <w:p>
      <w:pPr>
        <w:pStyle w:val="Paragrafoelenco"/>
        <w:numPr>
          <w:ilvl w:val="0"/>
          <w:numId w:val="1"/>
        </w:numPr>
        <w:ind w:left="993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Mutui, prestiti personali, affidamenti finalizzati,  leasing,  factoring,  cessione  del  quinto  dello  stipendio  e  della pensione, aperture di credito, carte di credito, deleghe di pagamento, concessione di garanzie</w:t>
      </w:r>
    </w:p>
    <w:p>
      <w:pPr>
        <w:pStyle w:val="Paragrafoelenco"/>
        <w:ind w:left="0" w:hanging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6"/>
        </w:numPr>
        <w:ind w:left="284" w:right="567" w:hanging="284"/>
        <w:jc w:val="both"/>
        <w:rPr/>
      </w:pPr>
      <w:r>
        <w:rPr>
          <w:rFonts w:cs="Times New Roman" w:ascii="Times New Roman" w:hAnsi="Times New Roman"/>
        </w:rPr>
        <w:t>Trasparenza e correttezza nelle relazioni con la clientela</w:t>
      </w:r>
    </w:p>
    <w:p>
      <w:pPr>
        <w:pStyle w:val="Paragrafoelenco"/>
        <w:numPr>
          <w:ilvl w:val="0"/>
          <w:numId w:val="5"/>
        </w:numPr>
        <w:ind w:left="993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Doveri dell’intermediario finanziario, violazione degli obblighi di informazione, responsabilità delle parti, obblighi di correttezza del cliente</w:t>
      </w:r>
    </w:p>
    <w:p>
      <w:pPr>
        <w:pStyle w:val="Paragrafoelenco"/>
        <w:numPr>
          <w:ilvl w:val="0"/>
          <w:numId w:val="5"/>
        </w:numPr>
        <w:ind w:left="993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Tutela del consumatore</w:t>
      </w:r>
    </w:p>
    <w:p>
      <w:pPr>
        <w:pStyle w:val="Paragrafoelenco"/>
        <w:ind w:left="1440" w:right="567" w:hanging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6"/>
        </w:numPr>
        <w:ind w:left="284" w:right="567" w:hanging="284"/>
        <w:jc w:val="both"/>
        <w:rPr/>
      </w:pPr>
      <w:r>
        <w:rPr>
          <w:rFonts w:cs="Times New Roman" w:ascii="Times New Roman" w:hAnsi="Times New Roman"/>
        </w:rPr>
        <w:t>Valutazione del merito creditizio</w:t>
      </w:r>
    </w:p>
    <w:p>
      <w:pPr>
        <w:pStyle w:val="Paragrafoelenco"/>
        <w:numPr>
          <w:ilvl w:val="0"/>
          <w:numId w:val="2"/>
        </w:numPr>
        <w:spacing w:before="0" w:after="0"/>
        <w:ind w:left="993" w:right="567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Crisi dell’impresa, analisi quantitativa, qualitativa e andamentale, composizione della crisi da sovraindebitamento, procedura di sovraindebitamento </w:t>
      </w:r>
    </w:p>
    <w:p>
      <w:pPr>
        <w:pStyle w:val="Normal"/>
        <w:tabs>
          <w:tab w:val="clear" w:pos="708"/>
          <w:tab w:val="left" w:pos="1418" w:leader="none"/>
        </w:tabs>
        <w:jc w:val="both"/>
        <w:rPr>
          <w:rFonts w:ascii="Times New Roman" w:hAnsi="Times New Roman" w:cs="Times New Roman"/>
          <w:sz w:val="22"/>
        </w:rPr>
      </w:pPr>
      <w:r>
        <w:rPr>
          <w:rFonts w:cs="Times New Roman"/>
          <w:sz w:val="22"/>
        </w:rPr>
      </w:r>
    </w:p>
    <w:p>
      <w:pPr>
        <w:pStyle w:val="Paragrafoelenco"/>
        <w:numPr>
          <w:ilvl w:val="0"/>
          <w:numId w:val="6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La disciplina antiriciclaggio ed antiusura</w:t>
      </w:r>
    </w:p>
    <w:p>
      <w:pPr>
        <w:pStyle w:val="Paragrafoelenco"/>
        <w:numPr>
          <w:ilvl w:val="0"/>
          <w:numId w:val="2"/>
        </w:numPr>
        <w:ind w:left="993" w:hanging="284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Novità introdotte dal D.Lgs. 25 maggio 2017, n. 90, novità introdotte dalla V Direttiva</w:t>
      </w:r>
    </w:p>
    <w:p>
      <w:pPr>
        <w:pStyle w:val="Paragrafoelenco"/>
        <w:numPr>
          <w:ilvl w:val="0"/>
          <w:numId w:val="4"/>
        </w:numPr>
        <w:ind w:left="993" w:hanging="284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Il reato di usura</w:t>
      </w:r>
    </w:p>
    <w:p>
      <w:pPr>
        <w:pStyle w:val="Paragrafoelenco"/>
        <w:ind w:left="993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6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Disciplina dei servizi di pagamento</w:t>
      </w:r>
    </w:p>
    <w:p>
      <w:pPr>
        <w:pStyle w:val="Paragrafoelenco"/>
        <w:numPr>
          <w:ilvl w:val="0"/>
          <w:numId w:val="4"/>
        </w:numPr>
        <w:spacing w:before="0" w:after="0"/>
        <w:ind w:left="993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Novità apportate dalla PSD 2</w:t>
      </w:r>
    </w:p>
    <w:p>
      <w:pPr>
        <w:pStyle w:val="Paragrafoelenco"/>
        <w:ind w:lef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6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La disciplina in tema di intermediazione assicurativa</w:t>
      </w:r>
    </w:p>
    <w:p>
      <w:pPr>
        <w:pStyle w:val="Paragrafoelenco"/>
        <w:numPr>
          <w:ilvl w:val="0"/>
          <w:numId w:val="1"/>
        </w:numPr>
        <w:spacing w:before="0" w:after="0"/>
        <w:ind w:left="993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Controlli sull’impresa di assicurazione</w:t>
      </w:r>
    </w:p>
    <w:p>
      <w:pPr>
        <w:pStyle w:val="Paragrafoelenco"/>
        <w:spacing w:before="0" w:after="0"/>
        <w:ind w:left="0" w:hanging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6"/>
        </w:numPr>
        <w:spacing w:before="0" w:after="0"/>
        <w:ind w:left="284" w:hanging="284"/>
        <w:contextualSpacing/>
        <w:jc w:val="both"/>
        <w:rPr/>
      </w:pPr>
      <w:r>
        <w:rPr>
          <w:rFonts w:cs="Times New Roman" w:ascii="Times New Roman" w:hAnsi="Times New Roman"/>
        </w:rPr>
        <w:t>Disciplina dei reclami e dell’Arbitro bancario e finanziario</w:t>
      </w:r>
    </w:p>
    <w:p>
      <w:pPr>
        <w:pStyle w:val="Paragrafoelenco"/>
        <w:spacing w:before="0" w:after="0"/>
        <w:ind w:left="0" w:hanging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/>
          <w:i/>
          <w:i/>
          <w:sz w:val="28"/>
          <w:szCs w:val="28"/>
          <w:lang w:val="en-US" w:eastAsia="en-US"/>
        </w:rPr>
      </w:pPr>
      <w:r>
        <w:rPr>
          <w:rFonts w:cs="Times New Roman"/>
          <w:b/>
          <w:i/>
          <w:sz w:val="28"/>
          <w:szCs w:val="28"/>
          <w:lang w:val="en-US" w:eastAsia="en-US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566" w:header="284" w:top="993" w:footer="26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b/>
        <w:i/>
        <w:lang w:val="pt-BR"/>
      </w:rPr>
      <w:t>RB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via Crescenzio, 25 – 00193 Roma (RM)</w:t>
    </w:r>
  </w:p>
  <w:p>
    <w:pPr>
      <w:pStyle w:val="Footer"/>
      <w:jc w:val="center"/>
      <w:rPr/>
    </w:pPr>
    <w:r>
      <w:rPr>
        <w:i/>
        <w:lang w:val="pt-BR"/>
      </w:rPr>
      <w:t>P.I.: 17044041006 - Numero REA: RM 1692224</w:t>
      <w:br/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27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0"/>
        </w:tabs>
        <w:ind w:left="4404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Paragrafoelenco">
    <w:name w:val="Paragrafo elenco"/>
    <w:basedOn w:val="Normal"/>
    <w:qFormat/>
    <w:pPr>
      <w:spacing w:lineRule="auto" w:line="276" w:before="0" w:after="200"/>
      <w:ind w:left="720" w:hanging="0"/>
      <w:contextualSpacing/>
    </w:pPr>
    <w:rPr>
      <w:rFonts w:ascii="Calibri" w:hAnsi="Calibri" w:eastAsia="Calibri" w:cs="Calibri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2018-06-05T16:16:00Z</dcterms:created>
  <dc:creator>A</dc:creator>
  <dc:description/>
  <cp:keywords/>
  <dc:language>en-US</dc:language>
  <cp:lastModifiedBy>carmela</cp:lastModifiedBy>
  <cp:lastPrinted>2018-07-24T12:48:00Z</cp:lastPrinted>
  <dcterms:modified xsi:type="dcterms:W3CDTF">2023-05-11T12:32:00Z</dcterms:modified>
  <cp:revision>13</cp:revision>
  <dc:subject/>
  <dc:title>                                </dc:title>
</cp:coreProperties>
</file>