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LA PROVA VALUTATIVA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DIPENDENTI E COLLABORATORI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delle Circolari n. 19/14 e 22/15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Roma, lì DATECERT</w:t>
      </w:r>
      <w:bookmarkStart w:id="0" w:name="_GoBack"/>
      <w:bookmarkEnd w:id="0"/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introdotte da Mifid 2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Rischio di credito, stima della perdita attesa, responsible lending, violazione dell’obbligo di valutazione del merito creditizio, responsabilità del finanziatore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 Direttiva antiriciclaggio e D.lgs. 90/2017, D.M. 11 marzo 2022 n. 55, Decreto milleproroghe 2022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apportate dalla PSD 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Direttiva IDD – Distribuzione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24c4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24c4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11657-7830-4A57-9FB3-D145708FA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2</Pages>
  <Words>363</Words>
  <Characters>2073</Characters>
  <CharactersWithSpaces>2432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2023-01-25T09:40:00Z</cp:lastPrinted>
  <dcterms:modified xsi:type="dcterms:W3CDTF">2023-05-12T10:36:00Z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