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16"/>
          <w:szCs w:val="40"/>
          <w:u w:val="single"/>
          <w:lang w:val="en-US" w:eastAsia="en-US"/>
        </w:rPr>
      </w:pPr>
      <w:r>
        <w:rPr>
          <w:b/>
          <w:sz w:val="16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36"/>
          <w:szCs w:val="36"/>
          <w:lang w:val="en-US" w:eastAsia="en-US"/>
        </w:rPr>
      </w:pPr>
      <w:r>
        <w:rPr>
          <w:i/>
          <w:iCs/>
          <w:sz w:val="36"/>
          <w:szCs w:val="36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16"/>
          <w:szCs w:val="36"/>
          <w:lang w:val="en-US" w:eastAsia="en-US"/>
        </w:rPr>
      </w:pPr>
      <w:r>
        <w:rPr>
          <w:i/>
          <w:sz w:val="16"/>
          <w:szCs w:val="36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36"/>
          <w:szCs w:val="36"/>
          <w:lang w:val="en-US" w:eastAsia="en-US"/>
        </w:rPr>
      </w:pPr>
      <w:r>
        <w:rPr>
          <w:i/>
          <w:sz w:val="36"/>
          <w:szCs w:val="36"/>
          <w:lang w:val="en-US" w:eastAsia="en-US"/>
        </w:rPr>
        <w:t xml:space="preserve">CF: </w:t>
      </w:r>
      <w:r>
        <w:rPr>
          <w:i/>
          <w:iCs/>
          <w:sz w:val="36"/>
          <w:szCs w:val="36"/>
        </w:rPr>
        <w:t>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16"/>
          <w:szCs w:val="36"/>
          <w:lang w:val="en-US" w:eastAsia="en-US"/>
        </w:rPr>
      </w:pPr>
      <w:r>
        <w:rPr>
          <w:i/>
          <w:sz w:val="16"/>
          <w:szCs w:val="36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16"/>
          <w:lang w:val="en-US" w:eastAsia="en-US"/>
        </w:rPr>
      </w:pPr>
      <w:r>
        <w:rPr>
          <w:i/>
          <w:sz w:val="16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superato con esito positivo il test finale relativo al</w:t>
      </w:r>
    </w:p>
    <w:p>
      <w:pPr>
        <w:pStyle w:val="Normal"/>
        <w:ind w:left="-539" w:right="-57" w:hanging="0"/>
        <w:jc w:val="center"/>
        <w:rPr>
          <w:i/>
          <w:i/>
          <w:sz w:val="16"/>
          <w:szCs w:val="28"/>
          <w:lang w:val="en-US" w:eastAsia="en-US"/>
        </w:rPr>
      </w:pPr>
      <w:r>
        <w:rPr>
          <w:i/>
          <w:sz w:val="16"/>
          <w:szCs w:val="28"/>
          <w:lang w:val="en-US" w:eastAsia="en-US"/>
        </w:rPr>
      </w:r>
    </w:p>
    <w:p>
      <w:pPr>
        <w:pStyle w:val="Normal"/>
        <w:autoSpaceDE w:val="false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 xml:space="preserve">CORSO DI PRIMA FORMAZIONE PER </w:t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AGENTE NEI SERVIZI DI PAGAMENTO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della Circolare n. 20/14 dell’OAM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6"/>
          <w:szCs w:val="28"/>
          <w:lang w:val="en-US" w:eastAsia="en-US"/>
        </w:rPr>
      </w:pPr>
      <w:r>
        <w:rPr>
          <w:b/>
          <w:i/>
          <w:sz w:val="16"/>
          <w:szCs w:val="28"/>
          <w:lang w:val="en-US" w:eastAsia="en-US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 xml:space="preserve">8 ore in modalità equivalenti (e-learning) e 2 ore di formazione a distanza in autonomia. 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ind w:left="709" w:right="425" w:hanging="425"/>
        <w:jc w:val="both"/>
        <w:rPr/>
      </w:pPr>
      <w:r>
        <w:rPr>
          <w:sz w:val="20"/>
          <w:szCs w:val="20"/>
          <w:lang w:val="en-US" w:eastAsia="en-US"/>
        </w:rPr>
        <w:t xml:space="preserve">a) </w:t>
        <w:tab/>
        <w:t>Principi</w:t>
      </w:r>
      <w:r>
        <w:rPr>
          <w:sz w:val="20"/>
          <w:lang w:val="en-US" w:eastAsia="en-US"/>
        </w:rPr>
        <w:t xml:space="preserve"> generali in tema di intermediazione finanziaria (5%)</w:t>
      </w:r>
    </w:p>
    <w:p>
      <w:pPr>
        <w:pStyle w:val="Normal"/>
        <w:numPr>
          <w:ilvl w:val="0"/>
          <w:numId w:val="1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La nuova disciplina degli intermediari finanziari</w:t>
      </w:r>
    </w:p>
    <w:p>
      <w:pPr>
        <w:pStyle w:val="Normal"/>
        <w:numPr>
          <w:ilvl w:val="0"/>
          <w:numId w:val="3"/>
        </w:numPr>
        <w:ind w:left="709" w:right="425" w:hanging="42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Principi generali della disciplina dei servizi di pagamento (30%)</w:t>
      </w:r>
    </w:p>
    <w:p>
      <w:pPr>
        <w:pStyle w:val="Normal"/>
        <w:numPr>
          <w:ilvl w:val="0"/>
          <w:numId w:val="2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Aspetti tecnici e normativi dei servizi di pagamento</w:t>
      </w:r>
    </w:p>
    <w:p>
      <w:pPr>
        <w:pStyle w:val="Normal"/>
        <w:numPr>
          <w:ilvl w:val="0"/>
          <w:numId w:val="2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Agenti che prestano esclusivamente i servizi di pagamento</w:t>
      </w:r>
    </w:p>
    <w:p>
      <w:pPr>
        <w:pStyle w:val="Normal"/>
        <w:numPr>
          <w:ilvl w:val="0"/>
          <w:numId w:val="2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PSD 2</w:t>
      </w:r>
    </w:p>
    <w:p>
      <w:pPr>
        <w:pStyle w:val="Normal"/>
        <w:numPr>
          <w:ilvl w:val="0"/>
          <w:numId w:val="2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Prestatore ed utilizzatore dei servizi di pagamento</w:t>
      </w:r>
    </w:p>
    <w:p>
      <w:pPr>
        <w:pStyle w:val="Normal"/>
        <w:numPr>
          <w:ilvl w:val="0"/>
          <w:numId w:val="2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Obblighi del prestatore e dell’utilizzatore</w:t>
      </w:r>
    </w:p>
    <w:p>
      <w:pPr>
        <w:pStyle w:val="Normal"/>
        <w:numPr>
          <w:ilvl w:val="0"/>
          <w:numId w:val="3"/>
        </w:numPr>
        <w:ind w:left="709" w:right="425" w:hanging="42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La disciplina della trasparenza e della tutela del consumatore applicabile ai servizi di pagamento (10%)</w:t>
      </w:r>
    </w:p>
    <w:p>
      <w:pPr>
        <w:pStyle w:val="Normal"/>
        <w:numPr>
          <w:ilvl w:val="0"/>
          <w:numId w:val="4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Disciplina sulla trasparenza</w:t>
      </w:r>
    </w:p>
    <w:p>
      <w:pPr>
        <w:pStyle w:val="Normal"/>
        <w:numPr>
          <w:ilvl w:val="0"/>
          <w:numId w:val="4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Mifid 2 e regolamento Priips</w:t>
      </w:r>
    </w:p>
    <w:p>
      <w:pPr>
        <w:pStyle w:val="Normal"/>
        <w:numPr>
          <w:ilvl w:val="0"/>
          <w:numId w:val="4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Direttiva PAD</w:t>
      </w:r>
    </w:p>
    <w:p>
      <w:pPr>
        <w:pStyle w:val="Normal"/>
        <w:numPr>
          <w:ilvl w:val="0"/>
          <w:numId w:val="3"/>
        </w:numPr>
        <w:ind w:left="709" w:right="425" w:hanging="425"/>
        <w:jc w:val="both"/>
        <w:rPr/>
      </w:pPr>
      <w:r>
        <w:rPr>
          <w:sz w:val="20"/>
          <w:lang w:val="en-US" w:eastAsia="en-US"/>
        </w:rPr>
        <w:t>La disciplina antiriciclaggio e del finanziamento del terrorismo applicabile ai servizi di pagamento (40%)</w:t>
      </w:r>
    </w:p>
    <w:p>
      <w:pPr>
        <w:pStyle w:val="Normal"/>
        <w:numPr>
          <w:ilvl w:val="0"/>
          <w:numId w:val="3"/>
        </w:numPr>
        <w:ind w:left="709" w:right="-142" w:hanging="42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 xml:space="preserve">Anagrafe dei rapporti e indagini finanziarie di cui rispettivamente ai Provvedimenti </w:t>
      </w:r>
    </w:p>
    <w:p>
      <w:pPr>
        <w:pStyle w:val="Normal"/>
        <w:ind w:left="709" w:right="-142" w:hanging="1"/>
        <w:jc w:val="both"/>
        <w:rPr>
          <w:sz w:val="12"/>
          <w:lang w:val="en-US" w:eastAsia="en-US"/>
        </w:rPr>
      </w:pPr>
      <w:r>
        <w:rPr>
          <w:sz w:val="20"/>
          <w:lang w:val="en-US" w:eastAsia="en-US"/>
        </w:rPr>
        <w:t>del Direttore dell’Agenzia delle Entrate del 19 gennaio 2007 e del 22 dicembre 2005 (15%)</w:t>
      </w:r>
    </w:p>
    <w:p>
      <w:pPr>
        <w:pStyle w:val="Normal"/>
        <w:ind w:left="-539" w:right="425" w:firstLine="539"/>
        <w:rPr>
          <w:b/>
          <w:b/>
          <w:bCs/>
          <w:sz w:val="16"/>
          <w:lang w:val="en-US" w:eastAsia="en-US"/>
        </w:rPr>
      </w:pPr>
      <w:r>
        <w:rPr>
          <w:b/>
          <w:bCs/>
          <w:sz w:val="16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Risultato del test di verifica delle conoscenze acquisite: </w:t>
      </w:r>
      <w:r>
        <w:rPr>
          <w:bCs/>
        </w:rPr>
        <w:t>txtvoto</w:t>
      </w:r>
      <w:r>
        <w:rPr/>
        <w:t>/20</w:t>
      </w:r>
    </w:p>
    <w:p>
      <w:pPr>
        <w:pStyle w:val="Normal"/>
        <w:ind w:right="425" w:hanging="0"/>
        <w:rPr>
          <w:b/>
          <w:b/>
          <w:sz w:val="16"/>
          <w:lang w:val="en-US" w:eastAsia="en-US"/>
        </w:rPr>
      </w:pPr>
      <w:r>
        <w:rPr>
          <w:b/>
          <w:sz w:val="16"/>
          <w:lang w:val="en-US" w:eastAsia="en-US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Docenti: </w:t>
      </w:r>
      <w:r>
        <w:rPr>
          <w:lang w:val="en-US" w:eastAsia="en-US"/>
        </w:rPr>
        <w:t>Avv. M. Bello – Avv. C. Gugliotta – Avv. E. Verbena</w:t>
      </w:r>
    </w:p>
    <w:p>
      <w:pPr>
        <w:pStyle w:val="Normal"/>
        <w:ind w:left="-539" w:right="425" w:firstLine="539"/>
        <w:rPr>
          <w:b/>
          <w:b/>
          <w:sz w:val="16"/>
          <w:lang w:val="en-US" w:eastAsia="en-US"/>
        </w:rPr>
      </w:pPr>
      <w:r>
        <w:rPr>
          <w:b/>
          <w:sz w:val="16"/>
          <w:lang w:val="en-US" w:eastAsia="en-US"/>
        </w:rPr>
      </w:r>
    </w:p>
    <w:p>
      <w:pPr>
        <w:pStyle w:val="Normal"/>
        <w:ind w:left="-539" w:right="425" w:firstLine="539"/>
        <w:rPr>
          <w:sz w:val="6"/>
        </w:rPr>
      </w:pPr>
      <w:r>
        <w:rPr>
          <w:sz w:val="6"/>
        </w:rPr>
      </w:r>
    </w:p>
    <w:p>
      <w:pPr>
        <w:pStyle w:val="Normal"/>
        <w:ind w:left="-539" w:right="-57" w:firstLine="539"/>
        <w:rPr>
          <w:i/>
          <w:i/>
          <w:sz w:val="28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3839210</wp:posOffset>
            </wp:positionH>
            <wp:positionV relativeFrom="paragraph">
              <wp:posOffset>92710</wp:posOffset>
            </wp:positionV>
            <wp:extent cx="3012440" cy="7766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8"/>
        </w:rPr>
        <w:t xml:space="preserve"> </w:t>
      </w:r>
      <w:r>
        <w:rPr>
          <w:i/>
          <w:sz w:val="28"/>
        </w:rPr>
        <w:t>Roma, lì DATECERT</w:t>
        <w:tab/>
        <w:tab/>
        <w:tab/>
        <w:tab/>
        <w:tab/>
        <w:tab/>
        <w:tab/>
      </w:r>
    </w:p>
    <w:p>
      <w:pPr>
        <w:pStyle w:val="Normal"/>
        <w:ind w:left="5833" w:right="-57" w:firstLine="1247"/>
        <w:rPr>
          <w:i/>
          <w:i/>
          <w:sz w:val="28"/>
        </w:rPr>
      </w:pPr>
      <w:r>
        <w:rPr>
          <w:b/>
          <w:i/>
          <w:sz w:val="28"/>
          <w:szCs w:val="28"/>
          <w:lang w:val="en-US" w:eastAsia="en-US"/>
        </w:rPr>
        <w:t>Firma del Responsabile</w:t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right="425" w:hanging="0"/>
        <w:rPr/>
      </w:pPr>
      <w:r>
        <w:rPr>
          <w:b/>
          <w:i/>
          <w:sz w:val="28"/>
          <w:szCs w:val="28"/>
          <w:lang w:val="en-US" w:eastAsia="en-US"/>
        </w:rPr>
        <w:t>Firma del Partecipante</w:t>
        <w:tab/>
        <w:tab/>
        <w:tab/>
        <w:tab/>
        <w:t xml:space="preserve">Firma del titolare o legale rappresentante </w:t>
      </w:r>
    </w:p>
    <w:p>
      <w:pPr>
        <w:pStyle w:val="Normal"/>
        <w:ind w:right="-426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 xml:space="preserve">   dell’istituto di pagamento o di moneta elettronica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708" w:top="993" w:footer="271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sz w:val="20"/>
        <w:lang w:val="en-US"/>
      </w:rPr>
    </w:pPr>
    <w:r>
      <w:rPr>
        <w:b/>
        <w:i/>
        <w:sz w:val="20"/>
        <w:lang w:val="en-US"/>
      </w:rPr>
      <w:t>R&amp;B Consulting S.r.l.</w:t>
    </w:r>
  </w:p>
  <w:p>
    <w:pPr>
      <w:pStyle w:val="Footer"/>
      <w:jc w:val="center"/>
      <w:rPr>
        <w:i/>
        <w:i/>
        <w:sz w:val="20"/>
      </w:rPr>
    </w:pPr>
    <w:r>
      <w:rPr>
        <w:i/>
        <w:sz w:val="20"/>
      </w:rPr>
      <w:t>[sedelegale]</w:t>
    </w:r>
  </w:p>
  <w:p>
    <w:pPr>
      <w:pStyle w:val="Footer"/>
      <w:jc w:val="center"/>
      <w:rPr>
        <w:i/>
        <w:i/>
        <w:sz w:val="20"/>
        <w:lang w:val="pt-BR"/>
      </w:rPr>
    </w:pPr>
    <w:r>
      <w:rPr>
        <w:i/>
        <w:sz w:val="20"/>
        <w:lang w:val="pt-BR"/>
      </w:rPr>
      <w:t>P.I.: 05744121210 - Numero REA: RM 1289708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tabs>
          <w:tab w:val="num" w:pos="708"/>
        </w:tabs>
        <w:ind w:left="1004" w:hanging="360"/>
      </w:pPr>
      <w:rPr>
        <w:rFonts w:ascii="Arial" w:hAnsi="Arial" w:cs="Arial" w:hint="default"/>
      </w:rPr>
    </w:lvl>
  </w:abstractNum>
  <w:abstractNum w:abstractNumId="2">
    <w:lvl w:ilvl="0">
      <w:numFmt w:val="bullet"/>
      <w:lvlText w:val="-"/>
      <w:lvlJc w:val="left"/>
      <w:pPr>
        <w:tabs>
          <w:tab w:val="num" w:pos="708"/>
        </w:tabs>
        <w:ind w:left="1004" w:hanging="360"/>
      </w:pPr>
      <w:rPr>
        <w:rFonts w:ascii="Arial" w:hAnsi="Arial" w:cs="Arial" w:hint="default"/>
      </w:rPr>
    </w:lvl>
  </w:abstractNum>
  <w:abstractNum w:abstractNumId="3">
    <w:lvl w:ilvl="0">
      <w:start w:val="2"/>
      <w:numFmt w:val="lowerLetter"/>
      <w:lvlText w:val="%1)"/>
      <w:lvlJc w:val="left"/>
      <w:pPr>
        <w:tabs>
          <w:tab w:val="num" w:pos="0"/>
        </w:tabs>
        <w:ind w:left="1004" w:hanging="360"/>
      </w:pPr>
      <w:rPr>
        <w:sz w:val="20"/>
        <w:lang w:val="en-US" w:eastAsia="en-US"/>
      </w:rPr>
    </w:lvl>
  </w:abstractNum>
  <w:abstractNum w:abstractNumId="4">
    <w:lvl w:ilvl="0">
      <w:numFmt w:val="bullet"/>
      <w:lvlText w:val="-"/>
      <w:lvlJc w:val="left"/>
      <w:pPr>
        <w:tabs>
          <w:tab w:val="num" w:pos="708"/>
        </w:tabs>
        <w:ind w:left="1004" w:hanging="360"/>
      </w:pPr>
      <w:rPr>
        <w:rFonts w:ascii="Arial" w:hAnsi="Arial" w:cs="Aria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Arial" w:hAnsi="Arial" w:eastAsia="Times New Roman" w:cs="Aria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Arial" w:hAnsi="Arial" w:eastAsia="Times New Roman" w:cs="Aria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sz w:val="20"/>
      <w:lang w:val="en-US" w:eastAsia="en-US"/>
    </w:rPr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Arial" w:hAnsi="Arial" w:eastAsia="Times New Roman" w:cs="Aria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2009-11-19T13:55:00Z</dcterms:created>
  <dc:creator>A</dc:creator>
  <dc:description/>
  <cp:keywords/>
  <dc:language>en-US</dc:language>
  <cp:lastModifiedBy>Employee</cp:lastModifiedBy>
  <cp:lastPrinted>2012-09-27T17:20:00Z</cp:lastPrinted>
  <dcterms:modified xsi:type="dcterms:W3CDTF">2023-02-09T13:26:00Z</dcterms:modified>
  <cp:revision>57</cp:revision>
  <dc:subject/>
  <dc:title>                                </dc:title>
</cp:coreProperties>
</file>