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PRIMA FORMAZIONE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8 ore in modalità e-learning e 2 ore di formazione a distanza in autonomia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La disciplina antiriciclaggio e del finanziamento del terrorismo applicabile ai servizi di pagamento (40%)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Riciclaggio, terrorismo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V Direttiva, Strumenti per la lotta al riciclaggio e al finanziamento del terrorismo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Attività di money transfer e i rischi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Adempimenti antiriciclaggio, AML Package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Principi generali della disciplina dei servizi di pagamento (30%)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PSD2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PISP e AISP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Strong Customer Authentication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Istituti di pagamento, Agenti di pagamento e IMEL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Strumenti di pagamento digitali, Mobile payment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Prestatore ed utilizzatore dei servizi di pagamento, Obblighi del prestatore e dell’utilizzatore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Anagrafe dei rapporti e indagini finanziarie di cui rispettivamente ai Provvedimenti del Direttore dell’Agenzia delle Entrate del 19 gennaio 2007 e del 22 dicembre 2005 (15%)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La disciplina della trasparenza e della tutela del consumatore applicabile ai servizi di pagamento (10%)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Direttiva sulla trasparenza, Direttiva PAD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Principi generali in tema di intermediazione finanziaria (5%)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Disciplina degli intermediari finanziari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Risultato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txtvoto/200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5014595</wp:posOffset>
            </wp:positionH>
            <wp:positionV relativeFrom="paragraph">
              <wp:posOffset>133985</wp:posOffset>
            </wp:positionV>
            <wp:extent cx="1310640" cy="72517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4"/>
          <w:szCs w:val="24"/>
        </w:rPr>
        <w:t>D</w:t>
      </w:r>
      <w:r>
        <w:rPr>
          <w:rFonts w:cs="Times New Roman" w:ascii="Times New Roman" w:hAnsi="Times New Roman"/>
          <w:b/>
          <w:bCs/>
          <w:sz w:val="24"/>
          <w:szCs w:val="24"/>
        </w:rPr>
        <w:t>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M. Bello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Responsabile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Firma del titolare o legale rappresentante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                     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dell’IP o dell’IMEL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294</Words>
  <Characters>1678</Characters>
  <CharactersWithSpaces>1969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2024-12-12T09:03:00Z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