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 xml:space="preserve">CORSO RESPONSABILE ANTIRICICLAGGIO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 ora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L’attività di money transfer e i rischi ad essa connessi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Disposizioni in materia di antiriciclaggio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Linee preventive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Gli organi interni: aspetti generali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Organo con funzione di supervisione strategica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Organo con funzione di gestione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Organo con funzione di controllo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 Funzione Antiriciclaggio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 Relazione annuale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Responsabile Antiriciclaggio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L’esternalizzazione della Funzione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Rapporti con le altre funzioni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Responsabile delle segnalazioni delle operazioni sospette (S.O.S.)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Le segnalazioni sospette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 Funzione di revisione interna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Disposizioni aggiuntive per i money trasfer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 formazione del personale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Individuazione del rischio inerente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Avv. C. Gugliotta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178</Words>
  <Characters>1018</Characters>
  <CharactersWithSpaces>1194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2023-05-11T10:11:00Z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