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_rels/header1.xml.rels" ContentType="application/vnd.openxmlformats-package.relationship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media/image1.png" ContentType="image/png"/>
  <Override PartName="/word/media/image2.wmf" ContentType="image/x-wmf"/>
  <Override PartName="/word/styles.xml" ContentType="application/vnd.openxmlformats-officedocument.wordprocessingml.styl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settings.xml" ContentType="application/vnd.openxmlformats-officedocument.wordprocessingml.settings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mc:Ignorable="w14 wp14">
  <w:body>
    <w:p>
      <w:pPr>
        <w:pStyle w:val="Normal"/>
        <w:ind w:left="-540" w:right="-54" w:hanging="0"/>
        <w:jc w:val="center"/>
        <w:rPr>
          <w:lang w:val="en-US" w:eastAsia="en-US"/>
        </w:rPr>
      </w:pPr>
      <w:r>
        <w:rPr>
          <w:lang w:val="en-US" w:eastAsia="en-US"/>
        </w:rPr>
        <w:t xml:space="preserve">                            </w:t>
      </w:r>
    </w:p>
    <w:p>
      <w:pPr>
        <w:pStyle w:val="Normal"/>
        <w:ind w:left="-539" w:right="-57" w:hanging="0"/>
        <w:jc w:val="center"/>
        <w:rPr>
          <w:b/>
          <w:b/>
          <w:sz w:val="40"/>
          <w:szCs w:val="40"/>
          <w:u w:val="single"/>
          <w:lang w:val="en-US" w:eastAsia="en-US"/>
        </w:rPr>
      </w:pPr>
      <w:r>
        <w:rPr>
          <w:b/>
          <w:sz w:val="40"/>
          <w:szCs w:val="40"/>
          <w:u w:val="single"/>
          <w:lang w:val="en-US" w:eastAsia="en-US"/>
        </w:rPr>
        <w:t>Attestato di Formazione</w:t>
      </w:r>
    </w:p>
    <w:p>
      <w:pPr>
        <w:pStyle w:val="Normal"/>
        <w:ind w:left="-539" w:right="-57" w:hanging="0"/>
        <w:jc w:val="center"/>
        <w:rPr>
          <w:b/>
          <w:b/>
          <w:sz w:val="40"/>
          <w:szCs w:val="40"/>
          <w:u w:val="single"/>
          <w:lang w:val="en-US" w:eastAsia="en-US"/>
        </w:rPr>
      </w:pPr>
      <w:r>
        <w:rPr>
          <w:b/>
          <w:sz w:val="40"/>
          <w:szCs w:val="40"/>
          <w:u w:val="single"/>
          <w:lang w:val="en-US" w:eastAsia="en-US"/>
        </w:rPr>
      </w:r>
    </w:p>
    <w:p>
      <w:pPr>
        <w:pStyle w:val="Normal"/>
        <w:ind w:left="-539" w:right="-57" w:hanging="0"/>
        <w:jc w:val="center"/>
        <w:rPr>
          <w:i/>
          <w:i/>
          <w:sz w:val="28"/>
          <w:szCs w:val="28"/>
          <w:lang w:val="en-US" w:eastAsia="en-US"/>
        </w:rPr>
      </w:pPr>
      <w:r>
        <w:rPr>
          <w:i/>
          <w:sz w:val="28"/>
          <w:szCs w:val="28"/>
          <w:lang w:val="en-US" w:eastAsia="en-US"/>
        </w:rPr>
        <w:t>Si certifica che</w:t>
      </w:r>
    </w:p>
    <w:p>
      <w:pPr>
        <w:pStyle w:val="Normal"/>
        <w:pBdr>
          <w:bottom w:val="single" w:sz="12" w:space="1" w:color="000000"/>
        </w:pBdr>
        <w:ind w:left="-539" w:right="-57" w:hanging="0"/>
        <w:jc w:val="center"/>
        <w:rPr/>
      </w:pPr>
      <w:bookmarkStart w:id="0" w:name="OLE_LINK3"/>
      <w:bookmarkStart w:id="1" w:name="OLE_LINK2"/>
      <w:bookmarkStart w:id="2" w:name="OLE_LINK1"/>
      <w:r>
        <w:rPr>
          <w:i/>
          <w:sz w:val="72"/>
          <w:szCs w:val="72"/>
          <w:lang w:val="en-US" w:eastAsia="en-US"/>
        </w:rPr>
        <w:t>Firstname Lastname</w:t>
      </w:r>
      <w:bookmarkEnd w:id="0"/>
      <w:bookmarkEnd w:id="1"/>
      <w:bookmarkEnd w:id="2"/>
    </w:p>
    <w:p>
      <w:pPr>
        <w:pStyle w:val="Normal"/>
        <w:ind w:left="-539" w:right="-57" w:hanging="0"/>
        <w:jc w:val="center"/>
        <w:rPr>
          <w:i/>
          <w:i/>
          <w:sz w:val="20"/>
          <w:szCs w:val="72"/>
          <w:lang w:val="en-US" w:eastAsia="en-US"/>
        </w:rPr>
      </w:pPr>
      <w:r>
        <w:rPr>
          <w:i/>
          <w:sz w:val="20"/>
          <w:szCs w:val="72"/>
          <w:lang w:val="en-US" w:eastAsia="en-US"/>
        </w:rPr>
      </w:r>
    </w:p>
    <w:p>
      <w:pPr>
        <w:pStyle w:val="Normal"/>
        <w:pBdr>
          <w:bottom w:val="single" w:sz="12" w:space="1" w:color="000000"/>
        </w:pBdr>
        <w:ind w:left="-539" w:right="-57" w:hanging="0"/>
        <w:jc w:val="center"/>
        <w:rPr>
          <w:i/>
          <w:i/>
          <w:sz w:val="20"/>
          <w:lang w:val="en-US" w:eastAsia="en-US"/>
        </w:rPr>
      </w:pPr>
      <w:r>
        <w:rPr>
          <w:i/>
          <w:sz w:val="52"/>
          <w:szCs w:val="52"/>
          <w:lang w:val="en-US" w:eastAsia="en-US"/>
        </w:rPr>
        <w:t>username: idst</w:t>
      </w:r>
    </w:p>
    <w:p>
      <w:pPr>
        <w:pStyle w:val="Normal"/>
        <w:ind w:left="-539" w:right="-57" w:hanging="0"/>
        <w:jc w:val="center"/>
        <w:rPr>
          <w:i/>
          <w:i/>
          <w:sz w:val="28"/>
          <w:lang w:val="en-US" w:eastAsia="en-US"/>
        </w:rPr>
      </w:pPr>
      <w:r>
        <w:rPr>
          <w:i/>
          <w:sz w:val="28"/>
          <w:lang w:val="en-US" w:eastAsia="en-US"/>
        </w:rPr>
      </w:r>
    </w:p>
    <w:p>
      <w:pPr>
        <w:pStyle w:val="Normal"/>
        <w:ind w:left="-539" w:right="-57" w:hanging="0"/>
        <w:jc w:val="center"/>
        <w:rPr>
          <w:i/>
          <w:i/>
          <w:sz w:val="28"/>
          <w:szCs w:val="28"/>
          <w:lang w:val="en-US" w:eastAsia="en-US"/>
        </w:rPr>
      </w:pPr>
      <w:r>
        <w:rPr>
          <w:i/>
          <w:sz w:val="28"/>
          <w:szCs w:val="28"/>
          <w:lang w:val="en-US" w:eastAsia="en-US"/>
        </w:rPr>
      </w:r>
    </w:p>
    <w:p>
      <w:pPr>
        <w:pStyle w:val="Normal"/>
        <w:ind w:left="-539" w:right="-57" w:hanging="0"/>
        <w:jc w:val="center"/>
        <w:rPr/>
      </w:pPr>
      <w:r>
        <w:rPr>
          <w:rFonts w:cs="Verdana" w:ascii="Verdana" w:hAnsi="Verdana"/>
          <w:b/>
          <w:bCs/>
          <w:sz w:val="40"/>
          <w:szCs w:val="40"/>
        </w:rPr>
        <w:t xml:space="preserve">CORSO DI AGGIORNAMENTO PROFESSIONALE </w:t>
      </w:r>
    </w:p>
    <w:p>
      <w:pPr>
        <w:pStyle w:val="Normal"/>
        <w:ind w:left="-539" w:right="-57" w:hanging="0"/>
        <w:jc w:val="center"/>
        <w:rPr>
          <w:b/>
          <w:b/>
          <w:i/>
          <w:i/>
          <w:sz w:val="28"/>
          <w:szCs w:val="28"/>
          <w:lang w:val="en-US" w:eastAsia="en-US"/>
        </w:rPr>
      </w:pPr>
      <w:r>
        <w:rPr>
          <w:i/>
          <w:sz w:val="28"/>
          <w:szCs w:val="28"/>
          <w:lang w:val="en-US" w:eastAsia="en-US"/>
        </w:rPr>
        <w:t>a cura dell’</w:t>
      </w:r>
      <w:r>
        <w:rPr>
          <w:b/>
          <w:i/>
          <w:sz w:val="28"/>
          <w:szCs w:val="28"/>
          <w:lang w:val="en-US" w:eastAsia="en-US"/>
        </w:rPr>
        <w:t>Avv. Giuseppe Russo</w:t>
      </w:r>
    </w:p>
    <w:p>
      <w:pPr>
        <w:pStyle w:val="Normal"/>
        <w:ind w:left="-539" w:right="-57" w:hanging="0"/>
        <w:jc w:val="center"/>
        <w:rPr>
          <w:b/>
          <w:b/>
          <w:i/>
          <w:i/>
          <w:sz w:val="28"/>
          <w:szCs w:val="28"/>
          <w:lang w:val="en-US" w:eastAsia="en-US"/>
        </w:rPr>
      </w:pPr>
      <w:r>
        <w:rPr>
          <w:b/>
          <w:i/>
          <w:sz w:val="28"/>
          <w:szCs w:val="28"/>
          <w:lang w:val="en-US" w:eastAsia="en-US"/>
        </w:rPr>
      </w:r>
    </w:p>
    <w:p>
      <w:pPr>
        <w:pStyle w:val="Normal"/>
        <w:ind w:left="-539" w:right="425" w:firstLine="539"/>
        <w:rPr>
          <w:b/>
          <w:b/>
          <w:sz w:val="28"/>
          <w:szCs w:val="28"/>
        </w:rPr>
      </w:pPr>
      <w:r>
        <w:rPr>
          <w:b/>
          <w:sz w:val="28"/>
          <w:szCs w:val="28"/>
        </w:rPr>
      </w:r>
    </w:p>
    <w:p>
      <w:pPr>
        <w:pStyle w:val="Normal"/>
        <w:ind w:right="425" w:hanging="0"/>
        <w:rPr>
          <w:b/>
          <w:b/>
        </w:rPr>
      </w:pPr>
      <w:r>
        <w:rPr>
          <w:b/>
        </w:rPr>
      </w:r>
    </w:p>
    <w:p>
      <w:pPr>
        <w:pStyle w:val="Normal"/>
        <w:ind w:right="425" w:hanging="0"/>
        <w:jc w:val="both"/>
        <w:rPr>
          <w:i/>
          <w:i/>
          <w:lang w:val="en-US" w:eastAsia="en-US"/>
        </w:rPr>
      </w:pPr>
      <w:r>
        <w:rPr>
          <w:b/>
          <w:lang w:val="en-US" w:eastAsia="en-US"/>
        </w:rPr>
        <w:t xml:space="preserve">Aree tematiche trattate </w:t>
      </w:r>
      <w:r>
        <w:rPr>
          <w:i/>
          <w:lang w:val="en-US" w:eastAsia="en-US"/>
        </w:rPr>
        <w:t>aggiornate al D.Lgs. n. 74 del 2015, alla Direttiva 2016/97/UE (IDD), al Regolamento UE 2016/679 (GDPR), al Provvedimento n. 58 del 2017 e al Regolamento IVASS n. 40 del 2018</w:t>
      </w:r>
      <w:r>
        <w:rPr>
          <w:lang w:val="en-US" w:eastAsia="en-US"/>
        </w:rPr>
        <w:t>:</w:t>
      </w:r>
    </w:p>
    <w:p>
      <w:pPr>
        <w:pStyle w:val="Normal"/>
        <w:numPr>
          <w:ilvl w:val="0"/>
          <w:numId w:val="5"/>
        </w:numPr>
        <w:tabs>
          <w:tab w:val="clear" w:pos="708"/>
          <w:tab w:val="left" w:pos="-179" w:leader="none"/>
        </w:tabs>
        <w:ind w:left="709" w:right="425" w:hanging="425"/>
        <w:jc w:val="both"/>
        <w:rPr/>
      </w:pPr>
      <w:r>
        <w:rPr>
          <w:lang w:val="en-US" w:eastAsia="en-US"/>
        </w:rPr>
        <w:t xml:space="preserve">Area contrattuale e prodotti. </w:t>
      </w:r>
    </w:p>
    <w:p>
      <w:pPr>
        <w:pStyle w:val="Normal"/>
        <w:numPr>
          <w:ilvl w:val="0"/>
          <w:numId w:val="5"/>
        </w:numPr>
        <w:tabs>
          <w:tab w:val="clear" w:pos="708"/>
          <w:tab w:val="left" w:pos="-179" w:leader="none"/>
        </w:tabs>
        <w:ind w:left="709" w:right="425" w:hanging="425"/>
        <w:jc w:val="both"/>
        <w:rPr>
          <w:lang w:val="en-US" w:eastAsia="en-US"/>
        </w:rPr>
      </w:pPr>
      <w:r>
        <w:rPr>
          <w:lang w:val="en-US" w:eastAsia="en-US"/>
        </w:rPr>
        <w:t>Area giuridica.</w:t>
      </w:r>
    </w:p>
    <w:p>
      <w:pPr>
        <w:pStyle w:val="Normal"/>
        <w:numPr>
          <w:ilvl w:val="0"/>
          <w:numId w:val="5"/>
        </w:numPr>
        <w:tabs>
          <w:tab w:val="clear" w:pos="708"/>
          <w:tab w:val="left" w:pos="-179" w:leader="none"/>
        </w:tabs>
        <w:ind w:left="709" w:right="425" w:hanging="425"/>
        <w:jc w:val="both"/>
        <w:rPr>
          <w:lang w:val="en-US" w:eastAsia="en-US"/>
        </w:rPr>
      </w:pPr>
      <w:r>
        <w:rPr>
          <w:lang w:val="en-US" w:eastAsia="en-US"/>
        </w:rPr>
        <w:t>Area tecnica assicurativa e riassicurativa.</w:t>
      </w:r>
    </w:p>
    <w:p>
      <w:pPr>
        <w:pStyle w:val="Normal"/>
        <w:numPr>
          <w:ilvl w:val="0"/>
          <w:numId w:val="5"/>
        </w:numPr>
        <w:tabs>
          <w:tab w:val="clear" w:pos="708"/>
          <w:tab w:val="left" w:pos="-179" w:leader="none"/>
        </w:tabs>
        <w:ind w:left="284" w:right="425" w:hanging="0"/>
        <w:jc w:val="both"/>
        <w:rPr/>
      </w:pPr>
      <w:r>
        <w:rPr>
          <w:lang w:val="en-US" w:eastAsia="en-US"/>
        </w:rPr>
        <w:t xml:space="preserve">Area amministrativa e gestionale. </w:t>
      </w:r>
    </w:p>
    <w:p>
      <w:pPr>
        <w:pStyle w:val="Normal"/>
        <w:numPr>
          <w:ilvl w:val="0"/>
          <w:numId w:val="5"/>
        </w:numPr>
        <w:tabs>
          <w:tab w:val="clear" w:pos="708"/>
          <w:tab w:val="left" w:pos="709" w:leader="none"/>
        </w:tabs>
        <w:ind w:left="669" w:right="425" w:hanging="360"/>
        <w:jc w:val="both"/>
        <w:rPr>
          <w:lang w:val="en-US" w:eastAsia="en-US"/>
        </w:rPr>
      </w:pPr>
      <w:r>
        <w:rPr>
          <w:lang w:val="en-US" w:eastAsia="en-US"/>
        </w:rPr>
        <w:t>Area informatica.</w:t>
      </w:r>
    </w:p>
    <w:p>
      <w:pPr>
        <w:pStyle w:val="Normal"/>
        <w:ind w:left="284" w:right="425" w:hanging="0"/>
        <w:jc w:val="both"/>
        <w:rPr>
          <w:sz w:val="22"/>
          <w:lang w:val="en-US" w:eastAsia="en-US"/>
        </w:rPr>
      </w:pPr>
      <w:r>
        <w:rPr>
          <w:sz w:val="22"/>
          <w:lang w:val="en-US" w:eastAsia="en-US"/>
        </w:rPr>
      </w:r>
    </w:p>
    <w:p>
      <w:pPr>
        <w:pStyle w:val="Normal"/>
        <w:ind w:left="284" w:right="425" w:hanging="0"/>
        <w:jc w:val="both"/>
        <w:rPr>
          <w:sz w:val="22"/>
          <w:lang w:val="en-US" w:eastAsia="en-US"/>
        </w:rPr>
      </w:pPr>
      <w:r>
        <w:rPr>
          <w:sz w:val="22"/>
          <w:lang w:val="en-US" w:eastAsia="en-US"/>
        </w:rPr>
      </w:r>
    </w:p>
    <w:p>
      <w:pPr>
        <w:pStyle w:val="Normal"/>
        <w:ind w:left="-539" w:right="425" w:firstLine="539"/>
        <w:rPr/>
      </w:pPr>
      <w:r>
        <w:rPr>
          <w:b/>
          <w:bCs/>
        </w:rPr>
        <w:t xml:space="preserve">Esito del test di verifica delle conoscenze acquisite: </w:t>
      </w:r>
      <w:r>
        <w:rPr/>
        <w:t>Positivo</w:t>
      </w:r>
    </w:p>
    <w:p>
      <w:pPr>
        <w:pStyle w:val="Normal"/>
        <w:ind w:left="-539" w:right="425" w:firstLine="539"/>
        <w:rPr/>
      </w:pPr>
      <w:r>
        <w:rPr/>
      </w:r>
    </w:p>
    <w:p>
      <w:pPr>
        <w:pStyle w:val="Normal"/>
        <w:ind w:left="-539" w:right="425" w:firstLine="539"/>
        <w:rPr/>
      </w:pPr>
      <w:r>
        <w:rPr/>
      </w:r>
    </w:p>
    <w:p>
      <w:pPr>
        <w:pStyle w:val="Normal"/>
        <w:ind w:right="425" w:hanging="0"/>
        <w:rPr>
          <w:lang w:val="en-US" w:eastAsia="en-US"/>
        </w:rPr>
      </w:pPr>
      <w:r>
        <w:rPr>
          <w:b/>
          <w:lang w:val="en-US" w:eastAsia="en-US"/>
        </w:rPr>
        <w:t xml:space="preserve">Coordinatore scientifico dei conteuti del corso: </w:t>
      </w:r>
      <w:r>
        <w:rPr>
          <w:lang w:val="en-US" w:eastAsia="en-US"/>
        </w:rPr>
        <w:t>Prof. Avv. Giuseppe Russo</w:t>
      </w:r>
    </w:p>
    <w:p>
      <w:pPr>
        <w:pStyle w:val="Normal"/>
        <w:ind w:left="-539" w:right="425" w:firstLine="539"/>
        <w:rPr/>
      </w:pPr>
      <w:r>
        <w:rPr>
          <w:b/>
          <w:lang w:val="en-US" w:eastAsia="en-US"/>
        </w:rPr>
        <w:t>Docente:</w:t>
      </w:r>
      <w:r>
        <w:rPr>
          <w:lang w:val="en-US" w:eastAsia="en-US"/>
        </w:rPr>
        <w:t xml:space="preserve"> Avv. C. Gugliotta </w:t>
      </w:r>
    </w:p>
    <w:p>
      <w:pPr>
        <w:pStyle w:val="Normal"/>
        <w:ind w:right="425" w:hanging="0"/>
        <w:rPr/>
      </w:pPr>
      <w:r>
        <w:rPr>
          <w:i/>
          <w:sz w:val="22"/>
          <w:szCs w:val="28"/>
          <w:lang w:val="en-US" w:eastAsia="en-US"/>
        </w:rPr>
        <w:t>Il Coordinatore Scientifico e la docente hanno maturato una comprovata esperienza oltre che quinquennale nelle materie di cui alla lettera a) comma 3 art. 96 del Regolamento IVASS n. 40/2018</w:t>
      </w:r>
    </w:p>
    <w:p>
      <w:pPr>
        <w:pStyle w:val="Normal"/>
        <w:ind w:left="-539" w:right="425" w:firstLine="539"/>
        <w:rPr>
          <w:sz w:val="28"/>
        </w:rPr>
      </w:pPr>
      <w:r>
        <w:rPr>
          <w:sz w:val="28"/>
        </w:rPr>
      </w:r>
    </w:p>
    <w:p>
      <w:pPr>
        <w:pStyle w:val="Normal"/>
        <w:ind w:left="-539" w:right="425" w:firstLine="539"/>
        <w:rPr>
          <w:sz w:val="28"/>
        </w:rPr>
      </w:pPr>
      <w:r>
        <w:rPr>
          <w:sz w:val="28"/>
        </w:rPr>
      </w:r>
    </w:p>
    <w:p>
      <w:pPr>
        <w:pStyle w:val="Normal"/>
        <w:ind w:left="-539" w:right="425" w:firstLine="539"/>
        <w:rPr>
          <w:sz w:val="28"/>
        </w:rPr>
      </w:pPr>
      <w:r>
        <w:rPr>
          <w:sz w:val="28"/>
        </w:rPr>
      </w:r>
    </w:p>
    <w:p>
      <w:pPr>
        <w:pStyle w:val="Normal"/>
        <w:ind w:left="-539" w:right="-57" w:hanging="28"/>
        <w:jc w:val="center"/>
        <w:rPr>
          <w:i/>
          <w:i/>
          <w:sz w:val="28"/>
        </w:rPr>
      </w:pPr>
      <w:r>
        <w:rPr>
          <w:i/>
          <w:sz w:val="28"/>
        </w:rPr>
        <w:t>Roma, lì DATECERT</w:t>
      </w:r>
    </w:p>
    <w:p>
      <w:pPr>
        <w:pStyle w:val="Normal"/>
        <w:ind w:left="-539" w:right="-57" w:hanging="0"/>
        <w:jc w:val="center"/>
        <w:rPr>
          <w:b/>
          <w:b/>
          <w:i/>
          <w:i/>
          <w:sz w:val="20"/>
          <w:szCs w:val="20"/>
          <w:lang w:val="en-US" w:eastAsia="en-US"/>
        </w:rPr>
      </w:pPr>
      <w:r>
        <w:rPr>
          <w:b/>
          <w:i/>
          <w:sz w:val="20"/>
          <w:szCs w:val="20"/>
          <w:lang w:val="en-US" w:eastAsia="en-US"/>
        </w:rPr>
      </w:r>
    </w:p>
    <w:p>
      <w:pPr>
        <w:pStyle w:val="Normal"/>
        <w:ind w:left="-539" w:right="-57" w:hanging="0"/>
        <w:jc w:val="center"/>
        <w:rPr>
          <w:b/>
          <w:b/>
          <w:i/>
          <w:i/>
          <w:sz w:val="20"/>
          <w:szCs w:val="20"/>
          <w:lang w:val="en-US" w:eastAsia="en-US"/>
        </w:rPr>
      </w:pPr>
      <w:r>
        <w:rPr>
          <w:b/>
          <w:i/>
          <w:sz w:val="20"/>
          <w:szCs w:val="20"/>
          <w:lang w:val="en-US" w:eastAsia="en-US"/>
        </w:rPr>
      </w:r>
    </w:p>
    <w:p>
      <w:pPr>
        <w:pStyle w:val="Normal"/>
        <w:ind w:left="-539" w:right="-57" w:hanging="0"/>
        <w:rPr>
          <w:b/>
          <w:b/>
          <w:i/>
          <w:i/>
          <w:sz w:val="28"/>
          <w:szCs w:val="28"/>
          <w:lang w:val="en-US" w:eastAsia="en-US"/>
        </w:rPr>
      </w:pPr>
      <w:r>
        <w:drawing>
          <wp:anchor behindDoc="1" distT="0" distB="0" distL="114935" distR="114935" simplePos="0" locked="0" layoutInCell="1" allowOverlap="1" relativeHeight="4">
            <wp:simplePos x="0" y="0"/>
            <wp:positionH relativeFrom="column">
              <wp:posOffset>4135120</wp:posOffset>
            </wp:positionH>
            <wp:positionV relativeFrom="paragraph">
              <wp:posOffset>163195</wp:posOffset>
            </wp:positionV>
            <wp:extent cx="2691765" cy="666115"/>
            <wp:effectExtent l="0" t="0" r="0" b="0"/>
            <wp:wrapNone/>
            <wp:docPr id="1" name="Image1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1" descr=""/>
                    <pic:cNvPicPr>
                      <a:picLocks noChangeAspect="1" noChangeArrowheads="1"/>
                    </pic:cNvPicPr>
                  </pic:nvPicPr>
                  <pic:blipFill>
                    <a:blip r:embed="rId2"/>
                    <a:srcRect l="-2" t="-3" r="-2" b="-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691765" cy="66611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b/>
          <w:i/>
          <w:sz w:val="28"/>
          <w:szCs w:val="28"/>
          <w:lang w:val="en-US" w:eastAsia="en-US"/>
        </w:rPr>
        <w:t>F</w:t>
      </w:r>
      <w:r>
        <w:rPr>
          <w:b/>
          <w:i/>
          <w:sz w:val="28"/>
          <w:szCs w:val="28"/>
          <w:lang w:val="en-US" w:eastAsia="en-US"/>
        </w:rPr>
        <w:t>irma del Partecipante</w:t>
        <w:tab/>
        <w:tab/>
        <w:tab/>
        <w:tab/>
        <w:tab/>
        <w:tab/>
        <w:tab/>
        <w:t>Firma del Responsabile</w:t>
      </w:r>
    </w:p>
    <w:p>
      <w:pPr>
        <w:pStyle w:val="Normal"/>
        <w:rPr>
          <w:b/>
          <w:b/>
          <w:i/>
          <w:i/>
          <w:sz w:val="28"/>
          <w:szCs w:val="28"/>
          <w:lang w:val="en-US" w:eastAsia="en-US"/>
        </w:rPr>
      </w:pPr>
      <w:r>
        <w:rPr>
          <w:b/>
          <w:i/>
          <w:sz w:val="28"/>
          <w:szCs w:val="28"/>
          <w:lang w:val="en-US" w:eastAsia="en-US"/>
        </w:rPr>
        <w:tab/>
      </w:r>
    </w:p>
    <w:p>
      <w:pPr>
        <w:pStyle w:val="Normal"/>
        <w:ind w:right="283" w:hanging="0"/>
        <w:jc w:val="center"/>
        <w:rPr>
          <w:b/>
          <w:b/>
          <w:i/>
          <w:i/>
          <w:sz w:val="28"/>
          <w:szCs w:val="40"/>
          <w:u w:val="single"/>
          <w:lang w:val="en-US" w:eastAsia="en-US"/>
        </w:rPr>
      </w:pPr>
      <w:r>
        <w:rPr>
          <w:b/>
          <w:i/>
          <w:sz w:val="28"/>
          <w:szCs w:val="40"/>
          <w:u w:val="single"/>
          <w:lang w:val="en-US" w:eastAsia="en-US"/>
        </w:rPr>
      </w:r>
    </w:p>
    <w:p>
      <w:pPr>
        <w:pStyle w:val="Normal"/>
        <w:ind w:right="283" w:hanging="0"/>
        <w:jc w:val="center"/>
        <w:rPr>
          <w:b/>
          <w:b/>
          <w:szCs w:val="40"/>
          <w:u w:val="single"/>
          <w:lang w:val="en-US" w:eastAsia="en-US"/>
        </w:rPr>
      </w:pPr>
      <w:r>
        <w:rPr>
          <w:b/>
          <w:szCs w:val="40"/>
          <w:u w:val="single"/>
          <w:lang w:val="en-US" w:eastAsia="en-US"/>
        </w:rPr>
      </w:r>
    </w:p>
    <w:p>
      <w:pPr>
        <w:pStyle w:val="Normal"/>
        <w:ind w:right="283" w:hanging="0"/>
        <w:jc w:val="center"/>
        <w:rPr>
          <w:b/>
          <w:b/>
          <w:szCs w:val="40"/>
          <w:u w:val="single"/>
          <w:lang w:val="en-US" w:eastAsia="en-US"/>
        </w:rPr>
      </w:pPr>
      <w:r>
        <w:rPr>
          <w:b/>
          <w:szCs w:val="40"/>
          <w:u w:val="single"/>
          <w:lang w:val="en-US" w:eastAsia="en-US"/>
        </w:rPr>
      </w:r>
      <w:r>
        <w:br w:type="page"/>
      </w:r>
    </w:p>
    <w:p>
      <w:pPr>
        <w:pStyle w:val="Normal"/>
        <w:ind w:right="283" w:hanging="0"/>
        <w:jc w:val="center"/>
        <w:rPr>
          <w:b/>
          <w:b/>
          <w:sz w:val="40"/>
          <w:szCs w:val="40"/>
          <w:u w:val="single"/>
          <w:lang w:val="en-US" w:eastAsia="en-US"/>
        </w:rPr>
      </w:pPr>
      <w:r>
        <w:rPr>
          <w:b/>
          <w:sz w:val="40"/>
          <w:szCs w:val="40"/>
          <w:u w:val="single"/>
          <w:lang w:val="en-US" w:eastAsia="en-US"/>
        </w:rPr>
        <w:t>Programma del corso</w:t>
      </w:r>
    </w:p>
    <w:p>
      <w:pPr>
        <w:pStyle w:val="Normal"/>
        <w:spacing w:lineRule="auto" w:line="276"/>
        <w:ind w:right="283" w:hanging="0"/>
        <w:jc w:val="center"/>
        <w:rPr/>
      </w:pPr>
      <w:r>
        <w:rPr>
          <w:i/>
          <w:szCs w:val="26"/>
          <w:lang w:val="en-US" w:eastAsia="en-US"/>
        </w:rPr>
        <w:t xml:space="preserve">*Corso aggiornato al D.Lgs. n. 74 del 2015, alla Direttiva 2016/97/UE (IDD),  </w:t>
      </w:r>
    </w:p>
    <w:p>
      <w:pPr>
        <w:pStyle w:val="Normal"/>
        <w:spacing w:lineRule="auto" w:line="276"/>
        <w:ind w:right="283" w:hanging="0"/>
        <w:jc w:val="center"/>
        <w:rPr>
          <w:i/>
          <w:i/>
          <w:szCs w:val="26"/>
          <w:lang w:val="en-US" w:eastAsia="en-US"/>
        </w:rPr>
      </w:pPr>
      <w:r>
        <w:rPr>
          <w:i/>
          <w:szCs w:val="26"/>
          <w:lang w:val="en-US" w:eastAsia="en-US"/>
        </w:rPr>
        <w:t xml:space="preserve">al Regolamento UE 2016/679 (GDPR), al Provvedimento n. 58 del 2017 e </w:t>
      </w:r>
    </w:p>
    <w:p>
      <w:pPr>
        <w:pStyle w:val="Normal"/>
        <w:spacing w:lineRule="auto" w:line="276"/>
        <w:ind w:right="283" w:hanging="0"/>
        <w:jc w:val="center"/>
        <w:rPr>
          <w:i/>
          <w:i/>
          <w:szCs w:val="26"/>
          <w:lang w:val="en-US" w:eastAsia="en-US"/>
        </w:rPr>
      </w:pPr>
      <w:r>
        <w:rPr>
          <w:i/>
          <w:szCs w:val="26"/>
          <w:lang w:val="en-US" w:eastAsia="en-US"/>
        </w:rPr>
        <w:t>al Regolamento IVASS n. 40 del 2018</w:t>
      </w:r>
    </w:p>
    <w:p>
      <w:pPr>
        <w:pStyle w:val="Normal"/>
        <w:spacing w:lineRule="auto" w:line="276"/>
        <w:ind w:right="283" w:hanging="0"/>
        <w:rPr>
          <w:sz w:val="28"/>
          <w:szCs w:val="28"/>
          <w:lang w:val="en-US" w:eastAsia="en-US"/>
        </w:rPr>
      </w:pPr>
      <w:r>
        <w:rPr>
          <w:sz w:val="28"/>
          <w:szCs w:val="28"/>
          <w:lang w:val="en-US" w:eastAsia="en-US"/>
        </w:rPr>
        <w:t xml:space="preserve"> </w:t>
      </w:r>
    </w:p>
    <w:p>
      <w:pPr>
        <w:pStyle w:val="Normal"/>
        <w:spacing w:lineRule="auto" w:line="276"/>
        <w:ind w:right="283" w:hanging="0"/>
        <w:rPr>
          <w:sz w:val="22"/>
          <w:szCs w:val="28"/>
          <w:lang w:val="en-US" w:eastAsia="en-US"/>
        </w:rPr>
      </w:pPr>
      <w:r>
        <w:rPr>
          <w:sz w:val="22"/>
          <w:szCs w:val="28"/>
          <w:lang w:val="en-US" w:eastAsia="en-US"/>
        </w:rPr>
        <w:t xml:space="preserve">1. Area contrattuale e prodotti </w:t>
      </w:r>
    </w:p>
    <w:p>
      <w:pPr>
        <w:pStyle w:val="Normal"/>
        <w:numPr>
          <w:ilvl w:val="0"/>
          <w:numId w:val="2"/>
        </w:numPr>
        <w:spacing w:lineRule="auto" w:line="276"/>
        <w:ind w:left="720" w:right="283" w:hanging="360"/>
        <w:rPr>
          <w:sz w:val="22"/>
          <w:szCs w:val="28"/>
          <w:lang w:val="en-US" w:eastAsia="en-US"/>
        </w:rPr>
      </w:pPr>
      <w:r>
        <w:rPr>
          <w:sz w:val="22"/>
          <w:szCs w:val="28"/>
          <w:lang w:val="en-US" w:eastAsia="en-US"/>
        </w:rPr>
        <w:t>Condizioni contrattuali delle polizze danni (coperture, costi ed esclusioni), compresi i rischi accessori coperti con tali polizze</w:t>
      </w:r>
    </w:p>
    <w:p>
      <w:pPr>
        <w:pStyle w:val="Normal"/>
        <w:numPr>
          <w:ilvl w:val="0"/>
          <w:numId w:val="2"/>
        </w:numPr>
        <w:spacing w:lineRule="auto" w:line="276"/>
        <w:ind w:left="720" w:right="283" w:hanging="360"/>
        <w:rPr>
          <w:sz w:val="22"/>
          <w:szCs w:val="28"/>
          <w:lang w:val="en-US" w:eastAsia="en-US"/>
        </w:rPr>
      </w:pPr>
      <w:r>
        <w:rPr>
          <w:sz w:val="22"/>
          <w:szCs w:val="28"/>
          <w:lang w:val="en-US" w:eastAsia="en-US"/>
        </w:rPr>
        <w:t>Condizioni contrattuali dei prodotti di investimento assicurativi (coperture, costi ed esclusioni), compresi la conoscenza dei premi netti, i benefici garantiti e non garantiti</w:t>
      </w:r>
    </w:p>
    <w:p>
      <w:pPr>
        <w:pStyle w:val="Normal"/>
        <w:numPr>
          <w:ilvl w:val="0"/>
          <w:numId w:val="2"/>
        </w:numPr>
        <w:spacing w:lineRule="auto" w:line="276"/>
        <w:ind w:left="720" w:right="283" w:hanging="360"/>
        <w:rPr>
          <w:sz w:val="22"/>
          <w:szCs w:val="28"/>
          <w:lang w:val="en-US" w:eastAsia="en-US"/>
        </w:rPr>
      </w:pPr>
      <w:r>
        <w:rPr>
          <w:sz w:val="22"/>
          <w:szCs w:val="28"/>
          <w:lang w:val="en-US" w:eastAsia="en-US"/>
        </w:rPr>
        <w:t xml:space="preserve">Condizioni contrattuali delle polizze vita (coperture, costi ed esclusioni), compresi i benefici garantiti e i rischi accessori </w:t>
      </w:r>
    </w:p>
    <w:p>
      <w:pPr>
        <w:pStyle w:val="Normal"/>
        <w:numPr>
          <w:ilvl w:val="0"/>
          <w:numId w:val="2"/>
        </w:numPr>
        <w:spacing w:lineRule="auto" w:line="276"/>
        <w:ind w:left="720" w:right="283" w:hanging="360"/>
        <w:rPr>
          <w:sz w:val="22"/>
          <w:szCs w:val="28"/>
          <w:lang w:val="en-US" w:eastAsia="en-US"/>
        </w:rPr>
      </w:pPr>
      <w:r>
        <w:rPr>
          <w:sz w:val="22"/>
          <w:szCs w:val="28"/>
          <w:lang w:val="en-US" w:eastAsia="en-US"/>
        </w:rPr>
        <w:t xml:space="preserve">Valutazione delle esigenze dei consumatori </w:t>
      </w:r>
    </w:p>
    <w:p>
      <w:pPr>
        <w:pStyle w:val="Normal"/>
        <w:numPr>
          <w:ilvl w:val="0"/>
          <w:numId w:val="2"/>
        </w:numPr>
        <w:spacing w:lineRule="auto" w:line="276"/>
        <w:ind w:left="720" w:right="283" w:hanging="360"/>
        <w:rPr>
          <w:sz w:val="22"/>
          <w:szCs w:val="28"/>
          <w:lang w:val="en-US" w:eastAsia="en-US"/>
        </w:rPr>
      </w:pPr>
      <w:r>
        <w:rPr>
          <w:sz w:val="22"/>
          <w:szCs w:val="28"/>
          <w:lang w:val="en-US" w:eastAsia="en-US"/>
        </w:rPr>
        <w:t xml:space="preserve">Valutazione dei vantaggi e degli svantaggi delle diverse opzioni di investimento per gli assicurati </w:t>
      </w:r>
    </w:p>
    <w:p>
      <w:pPr>
        <w:pStyle w:val="Normal"/>
        <w:numPr>
          <w:ilvl w:val="0"/>
          <w:numId w:val="2"/>
        </w:numPr>
        <w:spacing w:lineRule="auto" w:line="276"/>
        <w:ind w:left="720" w:right="283" w:hanging="360"/>
        <w:rPr>
          <w:sz w:val="22"/>
          <w:szCs w:val="28"/>
          <w:lang w:val="en-US" w:eastAsia="en-US"/>
        </w:rPr>
      </w:pPr>
      <w:r>
        <w:rPr>
          <w:sz w:val="22"/>
          <w:szCs w:val="28"/>
          <w:lang w:val="en-US" w:eastAsia="en-US"/>
        </w:rPr>
        <w:t xml:space="preserve">Valutazione dei rischi finanziari sostenuti dagli assicurati </w:t>
      </w:r>
    </w:p>
    <w:p>
      <w:pPr>
        <w:pStyle w:val="Normal"/>
        <w:numPr>
          <w:ilvl w:val="0"/>
          <w:numId w:val="2"/>
        </w:numPr>
        <w:spacing w:lineRule="auto" w:line="276"/>
        <w:ind w:left="720" w:right="283" w:hanging="360"/>
        <w:rPr>
          <w:sz w:val="22"/>
          <w:szCs w:val="28"/>
          <w:lang w:val="en-US" w:eastAsia="en-US"/>
        </w:rPr>
      </w:pPr>
      <w:r>
        <w:rPr>
          <w:sz w:val="22"/>
          <w:szCs w:val="28"/>
          <w:lang w:val="en-US" w:eastAsia="en-US"/>
        </w:rPr>
        <w:t xml:space="preserve">Mercato delle assicurazioni e mercato dei prodotti di risparmio e dei servizi finanziari </w:t>
      </w:r>
    </w:p>
    <w:p>
      <w:pPr>
        <w:pStyle w:val="Normal"/>
        <w:numPr>
          <w:ilvl w:val="0"/>
          <w:numId w:val="2"/>
        </w:numPr>
        <w:spacing w:lineRule="auto" w:line="276"/>
        <w:ind w:left="720" w:right="283" w:hanging="360"/>
        <w:rPr>
          <w:sz w:val="22"/>
          <w:szCs w:val="28"/>
          <w:lang w:val="en-US" w:eastAsia="en-US"/>
        </w:rPr>
      </w:pPr>
      <w:r>
        <w:rPr>
          <w:sz w:val="22"/>
          <w:szCs w:val="28"/>
          <w:lang w:val="en-US" w:eastAsia="en-US"/>
        </w:rPr>
        <w:t xml:space="preserve">Organizzazione e benefici garantiti dal sistema pensionistico dello Stato italiano </w:t>
      </w:r>
    </w:p>
    <w:p>
      <w:pPr>
        <w:pStyle w:val="Normal"/>
        <w:spacing w:lineRule="auto" w:line="276"/>
        <w:ind w:right="283" w:hanging="0"/>
        <w:rPr>
          <w:sz w:val="22"/>
          <w:szCs w:val="28"/>
          <w:lang w:val="en-US" w:eastAsia="en-US"/>
        </w:rPr>
      </w:pPr>
      <w:r>
        <w:rPr>
          <w:sz w:val="22"/>
          <w:szCs w:val="28"/>
          <w:lang w:val="en-US" w:eastAsia="en-US"/>
        </w:rPr>
        <w:t xml:space="preserve"> </w:t>
      </w:r>
    </w:p>
    <w:p>
      <w:pPr>
        <w:pStyle w:val="Normal"/>
        <w:spacing w:lineRule="auto" w:line="276"/>
        <w:ind w:right="283" w:hanging="0"/>
        <w:rPr>
          <w:sz w:val="22"/>
          <w:szCs w:val="28"/>
          <w:lang w:val="en-US" w:eastAsia="en-US"/>
        </w:rPr>
      </w:pPr>
      <w:r>
        <w:rPr>
          <w:sz w:val="22"/>
          <w:szCs w:val="28"/>
          <w:lang w:val="en-US" w:eastAsia="en-US"/>
        </w:rPr>
        <w:t xml:space="preserve">2. Area giuridica </w:t>
      </w:r>
    </w:p>
    <w:p>
      <w:pPr>
        <w:pStyle w:val="Normal"/>
        <w:numPr>
          <w:ilvl w:val="0"/>
          <w:numId w:val="1"/>
        </w:numPr>
        <w:spacing w:lineRule="auto" w:line="276"/>
        <w:ind w:left="720" w:right="283" w:hanging="360"/>
        <w:rPr>
          <w:sz w:val="22"/>
          <w:szCs w:val="28"/>
          <w:lang w:val="en-US" w:eastAsia="en-US"/>
        </w:rPr>
      </w:pPr>
      <w:r>
        <w:rPr>
          <w:sz w:val="22"/>
          <w:szCs w:val="28"/>
          <w:lang w:val="en-US" w:eastAsia="en-US"/>
        </w:rPr>
        <w:t xml:space="preserve">Norme che disciplinano la distribuzione dei prodotti assicurativi </w:t>
      </w:r>
    </w:p>
    <w:p>
      <w:pPr>
        <w:pStyle w:val="Normal"/>
        <w:numPr>
          <w:ilvl w:val="0"/>
          <w:numId w:val="1"/>
        </w:numPr>
        <w:spacing w:lineRule="auto" w:line="276"/>
        <w:ind w:left="720" w:right="283" w:hanging="360"/>
        <w:rPr>
          <w:sz w:val="22"/>
          <w:szCs w:val="28"/>
          <w:lang w:val="en-US" w:eastAsia="en-US"/>
        </w:rPr>
      </w:pPr>
      <w:r>
        <w:rPr>
          <w:sz w:val="22"/>
          <w:szCs w:val="28"/>
          <w:lang w:val="en-US" w:eastAsia="en-US"/>
        </w:rPr>
        <w:t xml:space="preserve">Intermediazione assicurativa e riassicurativa - condizioni di accesso e di esercizio </w:t>
      </w:r>
    </w:p>
    <w:p>
      <w:pPr>
        <w:pStyle w:val="Normal"/>
        <w:numPr>
          <w:ilvl w:val="0"/>
          <w:numId w:val="1"/>
        </w:numPr>
        <w:spacing w:lineRule="auto" w:line="276"/>
        <w:ind w:left="720" w:right="283" w:hanging="360"/>
        <w:rPr>
          <w:sz w:val="22"/>
          <w:szCs w:val="28"/>
          <w:lang w:val="en-US" w:eastAsia="en-US"/>
        </w:rPr>
      </w:pPr>
      <w:r>
        <w:rPr>
          <w:sz w:val="22"/>
          <w:szCs w:val="28"/>
          <w:lang w:val="en-US" w:eastAsia="en-US"/>
        </w:rPr>
        <w:t xml:space="preserve">Regole generali di comportamento e gestione dei conflitti di interesse </w:t>
      </w:r>
    </w:p>
    <w:p>
      <w:pPr>
        <w:pStyle w:val="Normal"/>
        <w:numPr>
          <w:ilvl w:val="0"/>
          <w:numId w:val="1"/>
        </w:numPr>
        <w:spacing w:lineRule="auto" w:line="276"/>
        <w:ind w:left="720" w:right="283" w:hanging="360"/>
        <w:rPr>
          <w:sz w:val="22"/>
          <w:szCs w:val="28"/>
          <w:lang w:val="en-US" w:eastAsia="en-US"/>
        </w:rPr>
      </w:pPr>
      <w:r>
        <w:rPr>
          <w:sz w:val="22"/>
          <w:szCs w:val="28"/>
          <w:lang w:val="en-US" w:eastAsia="en-US"/>
        </w:rPr>
        <w:t xml:space="preserve">Conoscenza degli standard di etica professionale </w:t>
      </w:r>
    </w:p>
    <w:p>
      <w:pPr>
        <w:pStyle w:val="Normal"/>
        <w:numPr>
          <w:ilvl w:val="0"/>
          <w:numId w:val="1"/>
        </w:numPr>
        <w:spacing w:lineRule="auto" w:line="276"/>
        <w:ind w:left="720" w:right="283" w:hanging="360"/>
        <w:rPr>
          <w:sz w:val="22"/>
          <w:szCs w:val="28"/>
          <w:lang w:val="en-US" w:eastAsia="en-US"/>
        </w:rPr>
      </w:pPr>
      <w:r>
        <w:rPr>
          <w:sz w:val="22"/>
          <w:szCs w:val="28"/>
          <w:lang w:val="en-US" w:eastAsia="en-US"/>
        </w:rPr>
        <w:t xml:space="preserve">Norme in materia di protezione e tutela del consumatore e Codice del consumo </w:t>
      </w:r>
    </w:p>
    <w:p>
      <w:pPr>
        <w:pStyle w:val="Normal"/>
        <w:numPr>
          <w:ilvl w:val="0"/>
          <w:numId w:val="1"/>
        </w:numPr>
        <w:spacing w:lineRule="auto" w:line="276"/>
        <w:ind w:left="720" w:right="283" w:hanging="360"/>
        <w:rPr>
          <w:sz w:val="22"/>
          <w:szCs w:val="28"/>
          <w:lang w:val="en-US" w:eastAsia="en-US"/>
        </w:rPr>
      </w:pPr>
      <w:r>
        <w:rPr>
          <w:sz w:val="22"/>
          <w:szCs w:val="28"/>
          <w:lang w:val="en-US" w:eastAsia="en-US"/>
        </w:rPr>
        <w:t xml:space="preserve">Antiriciclaggio e contrasto al finanziamento del terrorismo </w:t>
      </w:r>
    </w:p>
    <w:p>
      <w:pPr>
        <w:pStyle w:val="Normal"/>
        <w:numPr>
          <w:ilvl w:val="0"/>
          <w:numId w:val="1"/>
        </w:numPr>
        <w:spacing w:lineRule="auto" w:line="276"/>
        <w:ind w:left="720" w:right="283" w:hanging="360"/>
        <w:rPr>
          <w:sz w:val="22"/>
          <w:szCs w:val="28"/>
          <w:lang w:val="en-US" w:eastAsia="en-US"/>
        </w:rPr>
      </w:pPr>
      <w:r>
        <w:rPr>
          <w:sz w:val="22"/>
          <w:szCs w:val="28"/>
          <w:lang w:val="en-US" w:eastAsia="en-US"/>
        </w:rPr>
        <w:t xml:space="preserve">Psd 2  </w:t>
      </w:r>
    </w:p>
    <w:p>
      <w:pPr>
        <w:pStyle w:val="Normal"/>
        <w:numPr>
          <w:ilvl w:val="0"/>
          <w:numId w:val="1"/>
        </w:numPr>
        <w:spacing w:lineRule="auto" w:line="276"/>
        <w:ind w:left="720" w:right="283" w:hanging="360"/>
        <w:rPr>
          <w:sz w:val="22"/>
          <w:szCs w:val="28"/>
          <w:lang w:val="en-US" w:eastAsia="en-US"/>
        </w:rPr>
      </w:pPr>
      <w:r>
        <w:rPr>
          <w:sz w:val="22"/>
          <w:szCs w:val="28"/>
          <w:lang w:val="en-US" w:eastAsia="en-US"/>
        </w:rPr>
        <w:t xml:space="preserve">Norme tributarie, sociali e del lavoro pertinenti alla distribuzione dei prodotti assicurativi </w:t>
      </w:r>
    </w:p>
    <w:p>
      <w:pPr>
        <w:pStyle w:val="Normal"/>
        <w:numPr>
          <w:ilvl w:val="0"/>
          <w:numId w:val="1"/>
        </w:numPr>
        <w:spacing w:lineRule="auto" w:line="276"/>
        <w:ind w:left="720" w:right="283" w:hanging="360"/>
        <w:rPr>
          <w:sz w:val="22"/>
          <w:szCs w:val="28"/>
          <w:lang w:val="en-US" w:eastAsia="en-US"/>
        </w:rPr>
      </w:pPr>
      <w:r>
        <w:rPr>
          <w:sz w:val="22"/>
          <w:szCs w:val="28"/>
          <w:lang w:val="en-US" w:eastAsia="en-US"/>
        </w:rPr>
        <w:t xml:space="preserve">Normativa in materia di protezione dei dati personali  </w:t>
      </w:r>
    </w:p>
    <w:p>
      <w:pPr>
        <w:pStyle w:val="Normal"/>
        <w:spacing w:lineRule="auto" w:line="276"/>
        <w:ind w:right="283" w:hanging="0"/>
        <w:rPr>
          <w:sz w:val="22"/>
          <w:szCs w:val="28"/>
          <w:lang w:val="en-US" w:eastAsia="en-US"/>
        </w:rPr>
      </w:pPr>
      <w:r>
        <w:rPr>
          <w:sz w:val="22"/>
          <w:szCs w:val="28"/>
          <w:lang w:val="en-US" w:eastAsia="en-US"/>
        </w:rPr>
        <w:t xml:space="preserve"> </w:t>
      </w:r>
    </w:p>
    <w:p>
      <w:pPr>
        <w:pStyle w:val="Normal"/>
        <w:spacing w:lineRule="auto" w:line="276"/>
        <w:ind w:right="283" w:hanging="0"/>
        <w:rPr>
          <w:sz w:val="22"/>
          <w:szCs w:val="28"/>
          <w:lang w:val="en-US" w:eastAsia="en-US"/>
        </w:rPr>
      </w:pPr>
      <w:r>
        <w:rPr>
          <w:sz w:val="22"/>
          <w:szCs w:val="28"/>
          <w:lang w:val="en-US" w:eastAsia="en-US"/>
        </w:rPr>
        <w:t xml:space="preserve">3. Area tecnica assicurativa e riassicurativa </w:t>
      </w:r>
    </w:p>
    <w:p>
      <w:pPr>
        <w:pStyle w:val="Normal"/>
        <w:numPr>
          <w:ilvl w:val="0"/>
          <w:numId w:val="3"/>
        </w:numPr>
        <w:spacing w:lineRule="auto" w:line="276"/>
        <w:ind w:left="780" w:right="283" w:hanging="360"/>
        <w:rPr>
          <w:sz w:val="22"/>
          <w:szCs w:val="28"/>
          <w:lang w:val="en-US" w:eastAsia="en-US"/>
        </w:rPr>
      </w:pPr>
      <w:r>
        <w:rPr>
          <w:sz w:val="22"/>
          <w:szCs w:val="28"/>
          <w:lang w:val="en-US" w:eastAsia="en-US"/>
        </w:rPr>
        <w:t xml:space="preserve">Principali tipologie di coperture assicurative </w:t>
      </w:r>
    </w:p>
    <w:p>
      <w:pPr>
        <w:pStyle w:val="Normal"/>
        <w:numPr>
          <w:ilvl w:val="0"/>
          <w:numId w:val="3"/>
        </w:numPr>
        <w:spacing w:lineRule="auto" w:line="276"/>
        <w:ind w:left="780" w:right="283" w:hanging="360"/>
        <w:rPr>
          <w:sz w:val="22"/>
          <w:szCs w:val="28"/>
          <w:lang w:val="en-US" w:eastAsia="en-US"/>
        </w:rPr>
      </w:pPr>
      <w:r>
        <w:rPr>
          <w:sz w:val="22"/>
          <w:szCs w:val="28"/>
          <w:lang w:val="en-US" w:eastAsia="en-US"/>
        </w:rPr>
        <w:t xml:space="preserve">Elementi di tecniche di analisi dei rischi </w:t>
      </w:r>
    </w:p>
    <w:p>
      <w:pPr>
        <w:pStyle w:val="Normal"/>
        <w:numPr>
          <w:ilvl w:val="0"/>
          <w:numId w:val="3"/>
        </w:numPr>
        <w:spacing w:lineRule="auto" w:line="276"/>
        <w:ind w:left="780" w:right="283" w:hanging="360"/>
        <w:rPr>
          <w:sz w:val="22"/>
          <w:szCs w:val="28"/>
          <w:lang w:val="en-US" w:eastAsia="en-US"/>
        </w:rPr>
      </w:pPr>
      <w:r>
        <w:rPr>
          <w:sz w:val="22"/>
          <w:szCs w:val="28"/>
          <w:lang w:val="en-US" w:eastAsia="en-US"/>
        </w:rPr>
        <w:t xml:space="preserve">Trattamento fiscale dei vari tipi di polizze vita e prodotti pensionistici </w:t>
      </w:r>
    </w:p>
    <w:p>
      <w:pPr>
        <w:pStyle w:val="Normal"/>
        <w:spacing w:lineRule="auto" w:line="276"/>
        <w:ind w:right="283" w:hanging="0"/>
        <w:rPr>
          <w:sz w:val="22"/>
          <w:szCs w:val="28"/>
          <w:lang w:val="en-US" w:eastAsia="en-US"/>
        </w:rPr>
      </w:pPr>
      <w:r>
        <w:rPr>
          <w:sz w:val="22"/>
          <w:szCs w:val="28"/>
          <w:lang w:val="en-US" w:eastAsia="en-US"/>
        </w:rPr>
        <w:t xml:space="preserve"> </w:t>
      </w:r>
    </w:p>
    <w:p>
      <w:pPr>
        <w:pStyle w:val="Normal"/>
        <w:spacing w:lineRule="auto" w:line="276"/>
        <w:ind w:right="283" w:hanging="0"/>
        <w:rPr>
          <w:sz w:val="22"/>
          <w:szCs w:val="28"/>
          <w:lang w:val="en-US" w:eastAsia="en-US"/>
        </w:rPr>
      </w:pPr>
      <w:r>
        <w:rPr>
          <w:sz w:val="22"/>
          <w:szCs w:val="28"/>
          <w:lang w:val="en-US" w:eastAsia="en-US"/>
        </w:rPr>
        <w:t xml:space="preserve">4. Area amministrativa e gestionale </w:t>
      </w:r>
    </w:p>
    <w:p>
      <w:pPr>
        <w:pStyle w:val="Normal"/>
        <w:numPr>
          <w:ilvl w:val="0"/>
          <w:numId w:val="4"/>
        </w:numPr>
        <w:spacing w:lineRule="auto" w:line="276"/>
        <w:ind w:left="780" w:right="283" w:hanging="360"/>
        <w:rPr>
          <w:sz w:val="22"/>
          <w:szCs w:val="28"/>
          <w:lang w:val="en-US" w:eastAsia="en-US"/>
        </w:rPr>
      </w:pPr>
      <w:r>
        <w:rPr>
          <w:sz w:val="22"/>
          <w:szCs w:val="28"/>
          <w:lang w:val="en-US" w:eastAsia="en-US"/>
        </w:rPr>
        <w:t xml:space="preserve">Ciclo operativo ed economico delle imprese di assicurazione e riassicurazione </w:t>
      </w:r>
    </w:p>
    <w:p>
      <w:pPr>
        <w:pStyle w:val="Normal"/>
        <w:numPr>
          <w:ilvl w:val="0"/>
          <w:numId w:val="4"/>
        </w:numPr>
        <w:spacing w:lineRule="auto" w:line="276"/>
        <w:ind w:left="780" w:right="283" w:hanging="360"/>
        <w:rPr>
          <w:sz w:val="22"/>
          <w:szCs w:val="28"/>
          <w:lang w:val="en-US" w:eastAsia="en-US"/>
        </w:rPr>
      </w:pPr>
      <w:r>
        <w:rPr>
          <w:sz w:val="22"/>
          <w:szCs w:val="28"/>
          <w:lang w:val="en-US" w:eastAsia="en-US"/>
        </w:rPr>
        <w:t xml:space="preserve">Programmazione, analisi e controllo di gestione dell’intermediario assicurativo </w:t>
      </w:r>
    </w:p>
    <w:p>
      <w:pPr>
        <w:pStyle w:val="Normal"/>
        <w:numPr>
          <w:ilvl w:val="0"/>
          <w:numId w:val="4"/>
        </w:numPr>
        <w:spacing w:lineRule="auto" w:line="276"/>
        <w:ind w:left="780" w:right="283" w:hanging="360"/>
        <w:rPr>
          <w:sz w:val="22"/>
          <w:szCs w:val="28"/>
          <w:lang w:val="en-US" w:eastAsia="en-US"/>
        </w:rPr>
      </w:pPr>
      <w:r>
        <w:rPr>
          <w:sz w:val="22"/>
          <w:szCs w:val="28"/>
          <w:lang w:val="en-US" w:eastAsia="en-US"/>
        </w:rPr>
        <w:t xml:space="preserve">Gestione dei sinistri </w:t>
      </w:r>
    </w:p>
    <w:p>
      <w:pPr>
        <w:pStyle w:val="Normal"/>
        <w:numPr>
          <w:ilvl w:val="0"/>
          <w:numId w:val="4"/>
        </w:numPr>
        <w:spacing w:lineRule="auto" w:line="276"/>
        <w:ind w:left="780" w:right="283" w:hanging="360"/>
        <w:rPr>
          <w:sz w:val="22"/>
          <w:szCs w:val="28"/>
          <w:lang w:val="en-US" w:eastAsia="en-US"/>
        </w:rPr>
      </w:pPr>
      <w:r>
        <w:rPr>
          <w:sz w:val="22"/>
          <w:szCs w:val="28"/>
          <w:lang w:val="en-US" w:eastAsia="en-US"/>
        </w:rPr>
        <w:t xml:space="preserve">Gestione dei rapporti con il cliente </w:t>
      </w:r>
    </w:p>
    <w:p>
      <w:pPr>
        <w:pStyle w:val="Normal"/>
        <w:numPr>
          <w:ilvl w:val="0"/>
          <w:numId w:val="4"/>
        </w:numPr>
        <w:spacing w:lineRule="auto" w:line="276"/>
        <w:ind w:left="780" w:right="283" w:hanging="360"/>
        <w:rPr>
          <w:sz w:val="22"/>
          <w:szCs w:val="28"/>
          <w:lang w:val="en-US" w:eastAsia="en-US"/>
        </w:rPr>
      </w:pPr>
      <w:r>
        <w:rPr>
          <w:sz w:val="22"/>
          <w:szCs w:val="28"/>
          <w:lang w:val="en-US" w:eastAsia="en-US"/>
        </w:rPr>
        <w:t xml:space="preserve">Capacità di ascoltare e decodificare i bisogni della clientela </w:t>
      </w:r>
    </w:p>
    <w:p>
      <w:pPr>
        <w:pStyle w:val="Normal"/>
        <w:spacing w:lineRule="auto" w:line="276"/>
        <w:ind w:right="283" w:hanging="0"/>
        <w:rPr>
          <w:sz w:val="22"/>
          <w:szCs w:val="28"/>
          <w:lang w:val="en-US" w:eastAsia="en-US"/>
        </w:rPr>
      </w:pPr>
      <w:r>
        <w:rPr>
          <w:sz w:val="22"/>
          <w:szCs w:val="28"/>
          <w:lang w:val="en-US" w:eastAsia="en-US"/>
        </w:rPr>
        <w:t xml:space="preserve"> </w:t>
      </w:r>
    </w:p>
    <w:p>
      <w:pPr>
        <w:pStyle w:val="Normal"/>
        <w:spacing w:lineRule="auto" w:line="276"/>
        <w:ind w:right="283" w:hanging="0"/>
        <w:rPr>
          <w:sz w:val="22"/>
          <w:szCs w:val="28"/>
          <w:lang w:val="en-US" w:eastAsia="en-US"/>
        </w:rPr>
      </w:pPr>
      <w:r>
        <w:rPr>
          <w:sz w:val="22"/>
          <w:szCs w:val="28"/>
          <w:lang w:val="en-US" w:eastAsia="en-US"/>
        </w:rPr>
        <w:t xml:space="preserve">5. Area informatica </w:t>
      </w:r>
    </w:p>
    <w:p>
      <w:pPr>
        <w:pStyle w:val="Normal"/>
        <w:numPr>
          <w:ilvl w:val="0"/>
          <w:numId w:val="4"/>
        </w:numPr>
        <w:spacing w:lineRule="auto" w:line="276"/>
        <w:ind w:left="780" w:right="283" w:hanging="360"/>
        <w:rPr>
          <w:sz w:val="22"/>
          <w:szCs w:val="28"/>
          <w:lang w:val="en-US" w:eastAsia="en-US"/>
        </w:rPr>
      </w:pPr>
      <w:r>
        <w:rPr>
          <w:sz w:val="22"/>
          <w:szCs w:val="28"/>
          <w:lang w:val="en-US" w:eastAsia="en-US"/>
        </w:rPr>
        <w:t xml:space="preserve">Strumenti di Office Automation </w:t>
      </w:r>
    </w:p>
    <w:p>
      <w:pPr>
        <w:pStyle w:val="Normal"/>
        <w:numPr>
          <w:ilvl w:val="0"/>
          <w:numId w:val="4"/>
        </w:numPr>
        <w:spacing w:lineRule="auto" w:line="276"/>
        <w:ind w:left="780" w:right="283" w:hanging="360"/>
        <w:rPr>
          <w:sz w:val="22"/>
          <w:szCs w:val="28"/>
          <w:lang w:val="en-US" w:eastAsia="en-US"/>
        </w:rPr>
      </w:pPr>
      <w:r>
        <w:rPr>
          <w:sz w:val="22"/>
          <w:szCs w:val="28"/>
          <w:lang w:val="en-US" w:eastAsia="en-US"/>
        </w:rPr>
        <w:t xml:space="preserve">Navigazione web e utilizzo di internet </w:t>
      </w:r>
    </w:p>
    <w:p>
      <w:pPr>
        <w:pStyle w:val="Normal"/>
        <w:numPr>
          <w:ilvl w:val="0"/>
          <w:numId w:val="4"/>
        </w:numPr>
        <w:spacing w:lineRule="auto" w:line="276"/>
        <w:ind w:left="780" w:right="283" w:hanging="360"/>
        <w:rPr/>
      </w:pPr>
      <w:r>
        <w:rPr>
          <w:sz w:val="22"/>
          <w:szCs w:val="28"/>
          <w:lang w:val="en-US" w:eastAsia="en-US"/>
        </w:rPr>
        <w:t>Sicurezza informatica e protezione dei dati (durata 6h)</w:t>
      </w:r>
    </w:p>
    <w:sectPr>
      <w:headerReference w:type="default" r:id="rId3"/>
      <w:footerReference w:type="default" r:id="rId4"/>
      <w:type w:val="nextPage"/>
      <w:pgSz w:w="11906" w:h="16838"/>
      <w:pgMar w:left="1134" w:right="566" w:header="708" w:top="993" w:footer="143" w:bottom="1134" w:gutter="0"/>
      <w:pgNumType w:fmt="decimal"/>
      <w:formProt w:val="false"/>
      <w:textDirection w:val="lrTb"/>
      <w:docGrid w:type="default" w:linePitch="36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Courier New">
    <w:charset w:val="00"/>
    <w:family w:val="modern"/>
    <w:pitch w:val="default"/>
  </w:font>
  <w:font w:name="Wingdings">
    <w:charset w:val="02"/>
    <w:family w:val="auto"/>
    <w:pitch w:val="variable"/>
  </w:font>
  <w:font w:name="Liberation Sans">
    <w:altName w:val="Arial"/>
    <w:charset w:val="01"/>
    <w:family w:val="swiss"/>
    <w:pitch w:val="variable"/>
  </w:font>
  <w:font w:name="Verdana">
    <w:charset w:val="00"/>
    <w:family w:val="swiss"/>
    <w:pitch w:val="variable"/>
  </w:font>
</w:fonts>
</file>

<file path=word/footer1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mc:Ignorable="w14 wp14">
  <w:p>
    <w:pPr>
      <w:pStyle w:val="Footer"/>
      <w:jc w:val="center"/>
      <w:rPr>
        <w:b/>
        <w:b/>
        <w:i/>
        <w:i/>
        <w:lang w:val="en-US"/>
      </w:rPr>
    </w:pPr>
    <w:r>
      <w:rPr>
        <w:b/>
        <w:i/>
        <w:lang w:val="en-US"/>
      </w:rPr>
      <w:t>R&amp;B Consulting S.r.l.</w:t>
    </w:r>
  </w:p>
  <w:p>
    <w:pPr>
      <w:pStyle w:val="Footer"/>
      <w:jc w:val="center"/>
      <w:rPr>
        <w:i/>
        <w:i/>
        <w:lang w:val="pt-BR"/>
      </w:rPr>
    </w:pPr>
    <w:r>
      <w:rPr>
        <w:i/>
        <w:lang w:val="pt-BR"/>
      </w:rPr>
      <w:t>[sedelegale]</w:t>
    </w:r>
  </w:p>
  <w:p>
    <w:pPr>
      <w:pStyle w:val="Footer"/>
      <w:jc w:val="center"/>
      <w:rPr>
        <w:i/>
        <w:i/>
        <w:lang w:val="pt-BR"/>
      </w:rPr>
    </w:pPr>
    <w:r>
      <w:rPr>
        <w:i/>
        <w:lang w:val="pt-BR"/>
      </w:rPr>
      <w:t>P.I.: 05744121210 - Numero REA: RM 1289708</w:t>
    </w:r>
  </w:p>
  <w:p>
    <w:pPr>
      <w:pStyle w:val="Footer"/>
      <w:jc w:val="center"/>
      <w:rPr>
        <w:i/>
        <w:i/>
        <w:lang w:val="pt-BR"/>
      </w:rPr>
    </w:pPr>
    <w:r>
      <w:rPr>
        <w:i/>
        <w:lang w:val="pt-BR"/>
      </w:rPr>
      <w:t>Ente con certificazione di qualità UNI EN ISO 9001:2008</w:t>
    </w:r>
  </w:p>
</w:ftr>
</file>

<file path=word/header1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mc:Ignorable="w14 wp14">
  <w:p>
    <w:pPr>
      <w:pStyle w:val="Header"/>
      <w:jc w:val="center"/>
      <w:rPr/>
    </w:pPr>
    <w:r>
      <w:rPr/>
      <w:drawing>
        <wp:inline distT="0" distB="0" distL="0" distR="0">
          <wp:extent cx="5771515" cy="750570"/>
          <wp:effectExtent l="0" t="0" r="0" b="0"/>
          <wp:docPr id="2" name="Image2" descr="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Image2" descr=""/>
                  <pic:cNvPicPr>
                    <a:picLocks noChangeAspect="1" noChangeArrowheads="1"/>
                  </pic:cNvPicPr>
                </pic:nvPicPr>
                <pic:blipFill>
                  <a:blip r:embed="rId1"/>
                  <a:srcRect l="-7" t="-17" r="-7" b="-17"/>
                  <a:stretch>
                    <a:fillRect/>
                  </a:stretch>
                </pic:blipFill>
                <pic:spPr bwMode="auto">
                  <a:xfrm>
                    <a:off x="0" y="0"/>
                    <a:ext cx="5771515" cy="750570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hdr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>
  <w:abstractNum w:abstractNumId="1">
    <w:lvl w:ilvl="0">
      <w:start w:val="139"/>
      <w:numFmt w:val="bullet"/>
      <w:lvlText w:val="-"/>
      <w:lvlJc w:val="left"/>
      <w:pPr>
        <w:tabs>
          <w:tab w:val="num" w:pos="0"/>
        </w:tabs>
        <w:ind w:left="720" w:hanging="360"/>
      </w:pPr>
      <w:rPr>
        <w:rFonts w:ascii="Times New Roman" w:hAnsi="Times New Roman" w:cs="Times New Roman" w:hint="default"/>
      </w:rPr>
    </w:lvl>
  </w:abstractNum>
  <w:abstractNum w:abstractNumId="2">
    <w:lvl w:ilvl="0">
      <w:start w:val="139"/>
      <w:numFmt w:val="bullet"/>
      <w:lvlText w:val="-"/>
      <w:lvlJc w:val="left"/>
      <w:pPr>
        <w:tabs>
          <w:tab w:val="num" w:pos="0"/>
        </w:tabs>
        <w:ind w:left="720" w:hanging="360"/>
      </w:pPr>
      <w:rPr>
        <w:rFonts w:ascii="Times New Roman" w:hAnsi="Times New Roman" w:cs="Times New Roman" w:hint="default"/>
      </w:rPr>
    </w:lvl>
  </w:abstractNum>
  <w:abstractNum w:abstractNumId="3">
    <w:lvl w:ilvl="0">
      <w:start w:val="139"/>
      <w:numFmt w:val="bullet"/>
      <w:lvlText w:val="-"/>
      <w:lvlJc w:val="left"/>
      <w:pPr>
        <w:tabs>
          <w:tab w:val="num" w:pos="0"/>
        </w:tabs>
        <w:ind w:left="780" w:hanging="360"/>
      </w:pPr>
      <w:rPr>
        <w:rFonts w:ascii="Times New Roman" w:hAnsi="Times New Roman" w:cs="Times New Roman" w:hint="default"/>
      </w:rPr>
    </w:lvl>
  </w:abstractNum>
  <w:abstractNum w:abstractNumId="4">
    <w:lvl w:ilvl="0">
      <w:start w:val="139"/>
      <w:numFmt w:val="bullet"/>
      <w:lvlText w:val="-"/>
      <w:lvlJc w:val="left"/>
      <w:pPr>
        <w:tabs>
          <w:tab w:val="num" w:pos="0"/>
        </w:tabs>
        <w:ind w:left="780" w:hanging="360"/>
      </w:pPr>
      <w:rPr>
        <w:rFonts w:ascii="Times New Roman" w:hAnsi="Times New Roman" w:cs="Times New Roman" w:hint="default"/>
      </w:rPr>
    </w:lvl>
  </w:abstractNum>
  <w:abstractNum w:abstractNumId="5">
    <w:lvl w:ilvl="0">
      <w:start w:val="1"/>
      <w:numFmt w:val="lowerLetter"/>
      <w:lvlText w:val="%1)"/>
      <w:lvlJc w:val="left"/>
      <w:pPr>
        <w:tabs>
          <w:tab w:val="num" w:pos="669"/>
        </w:tabs>
        <w:ind w:left="669" w:hanging="360"/>
      </w:pPr>
      <w:rPr>
        <w:lang w:val="en-US" w:eastAsia="en-US"/>
      </w:rPr>
    </w:lvl>
  </w:abstractNum>
  <w:abstractNum w:abstractNumId="6"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</w:numbering>
</file>

<file path=word/settings.xml><?xml version="1.0" encoding="utf-8"?>
<w:settings xmlns:w="http://schemas.openxmlformats.org/wordprocessingml/2006/main">
  <w:zoom w:percent="120"/>
  <w:defaultTabStop w:val="708"/>
  <w:autoHyphenation w:val="true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DejaVu Sans" w:cs="Noto Sans Devanagari"/>
        <w:szCs w:val="24"/>
        <w:lang w:val="en-US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/>
      <w:bidi w:val="0"/>
    </w:pPr>
    <w:rPr>
      <w:rFonts w:ascii="Times New Roman" w:hAnsi="Times New Roman" w:eastAsia="Times New Roman" w:cs="Times New Roman"/>
      <w:color w:val="auto"/>
      <w:sz w:val="24"/>
      <w:szCs w:val="24"/>
      <w:lang w:val="it-IT" w:bidi="ar-SA" w:eastAsia="zh-CN"/>
    </w:rPr>
  </w:style>
  <w:style w:type="character" w:styleId="WW8Num1z0">
    <w:name w:val="WW8Num1z0"/>
    <w:qFormat/>
    <w:rPr>
      <w:rFonts w:ascii="Times New Roman" w:hAnsi="Times New Roman" w:eastAsia="Calibri" w:cs="Times New Roman"/>
    </w:rPr>
  </w:style>
  <w:style w:type="character" w:styleId="WW8Num1z1">
    <w:name w:val="WW8Num1z1"/>
    <w:qFormat/>
    <w:rPr>
      <w:rFonts w:ascii="Courier New" w:hAnsi="Courier New" w:cs="Courier New"/>
    </w:rPr>
  </w:style>
  <w:style w:type="character" w:styleId="WW8Num1z2">
    <w:name w:val="WW8Num1z2"/>
    <w:qFormat/>
    <w:rPr>
      <w:rFonts w:ascii="Wingdings" w:hAnsi="Wingdings" w:cs="Wingdings"/>
    </w:rPr>
  </w:style>
  <w:style w:type="character" w:styleId="WW8Num1z3">
    <w:name w:val="WW8Num1z3"/>
    <w:qFormat/>
    <w:rPr>
      <w:rFonts w:ascii="Symbol" w:hAnsi="Symbol" w:cs="Symbol"/>
    </w:rPr>
  </w:style>
  <w:style w:type="character" w:styleId="WW8Num2z0">
    <w:name w:val="WW8Num2z0"/>
    <w:qFormat/>
    <w:rPr>
      <w:rFonts w:ascii="Times New Roman" w:hAnsi="Times New Roman" w:eastAsia="Calibri" w:cs="Times New Roman"/>
    </w:rPr>
  </w:style>
  <w:style w:type="character" w:styleId="WW8Num2z1">
    <w:name w:val="WW8Num2z1"/>
    <w:qFormat/>
    <w:rPr>
      <w:rFonts w:ascii="Courier New" w:hAnsi="Courier New" w:cs="Courier New"/>
    </w:rPr>
  </w:style>
  <w:style w:type="character" w:styleId="WW8Num2z2">
    <w:name w:val="WW8Num2z2"/>
    <w:qFormat/>
    <w:rPr>
      <w:rFonts w:ascii="Wingdings" w:hAnsi="Wingdings" w:cs="Wingdings"/>
    </w:rPr>
  </w:style>
  <w:style w:type="character" w:styleId="WW8Num2z3">
    <w:name w:val="WW8Num2z3"/>
    <w:qFormat/>
    <w:rPr>
      <w:rFonts w:ascii="Symbol" w:hAnsi="Symbol" w:cs="Symbol"/>
    </w:rPr>
  </w:style>
  <w:style w:type="character" w:styleId="WW8Num3z0">
    <w:name w:val="WW8Num3z0"/>
    <w:qFormat/>
    <w:rPr>
      <w:rFonts w:ascii="Times New Roman" w:hAnsi="Times New Roman" w:eastAsia="Calibri" w:cs="Times New Roman"/>
    </w:rPr>
  </w:style>
  <w:style w:type="character" w:styleId="WW8Num3z1">
    <w:name w:val="WW8Num3z1"/>
    <w:qFormat/>
    <w:rPr>
      <w:rFonts w:ascii="Courier New" w:hAnsi="Courier New" w:cs="Courier New"/>
    </w:rPr>
  </w:style>
  <w:style w:type="character" w:styleId="WW8Num3z2">
    <w:name w:val="WW8Num3z2"/>
    <w:qFormat/>
    <w:rPr>
      <w:rFonts w:ascii="Wingdings" w:hAnsi="Wingdings" w:cs="Wingdings"/>
    </w:rPr>
  </w:style>
  <w:style w:type="character" w:styleId="WW8Num3z3">
    <w:name w:val="WW8Num3z3"/>
    <w:qFormat/>
    <w:rPr>
      <w:rFonts w:ascii="Symbol" w:hAnsi="Symbol" w:cs="Symbol"/>
    </w:rPr>
  </w:style>
  <w:style w:type="character" w:styleId="WW8Num4z0">
    <w:name w:val="WW8Num4z0"/>
    <w:qFormat/>
    <w:rPr>
      <w:rFonts w:ascii="Times New Roman" w:hAnsi="Times New Roman" w:eastAsia="Times New Roman" w:cs="Times New Roman"/>
    </w:rPr>
  </w:style>
  <w:style w:type="character" w:styleId="WW8Num4z1">
    <w:name w:val="WW8Num4z1"/>
    <w:qFormat/>
    <w:rPr>
      <w:rFonts w:ascii="Courier New" w:hAnsi="Courier New" w:cs="Courier New"/>
    </w:rPr>
  </w:style>
  <w:style w:type="character" w:styleId="WW8Num4z2">
    <w:name w:val="WW8Num4z2"/>
    <w:qFormat/>
    <w:rPr>
      <w:rFonts w:ascii="Wingdings" w:hAnsi="Wingdings" w:cs="Wingdings"/>
    </w:rPr>
  </w:style>
  <w:style w:type="character" w:styleId="WW8Num4z3">
    <w:name w:val="WW8Num4z3"/>
    <w:qFormat/>
    <w:rPr>
      <w:rFonts w:ascii="Symbol" w:hAnsi="Symbol" w:cs="Symbol"/>
    </w:rPr>
  </w:style>
  <w:style w:type="character" w:styleId="WW8Num5z0">
    <w:name w:val="WW8Num5z0"/>
    <w:qFormat/>
    <w:rPr>
      <w:rFonts w:ascii="Times New Roman" w:hAnsi="Times New Roman" w:eastAsia="Calibri" w:cs="Times New Roman"/>
    </w:rPr>
  </w:style>
  <w:style w:type="character" w:styleId="WW8Num5z1">
    <w:name w:val="WW8Num5z1"/>
    <w:qFormat/>
    <w:rPr>
      <w:rFonts w:ascii="Courier New" w:hAnsi="Courier New" w:cs="Courier New"/>
    </w:rPr>
  </w:style>
  <w:style w:type="character" w:styleId="WW8Num5z2">
    <w:name w:val="WW8Num5z2"/>
    <w:qFormat/>
    <w:rPr>
      <w:rFonts w:ascii="Wingdings" w:hAnsi="Wingdings" w:cs="Wingdings"/>
    </w:rPr>
  </w:style>
  <w:style w:type="character" w:styleId="WW8Num5z3">
    <w:name w:val="WW8Num5z3"/>
    <w:qFormat/>
    <w:rPr>
      <w:rFonts w:ascii="Symbol" w:hAnsi="Symbol" w:cs="Symbol"/>
    </w:rPr>
  </w:style>
  <w:style w:type="character" w:styleId="WW8Num6z0">
    <w:name w:val="WW8Num6z0"/>
    <w:qFormat/>
    <w:rPr>
      <w:rFonts w:ascii="Times New Roman" w:hAnsi="Times New Roman" w:eastAsia="Calibri" w:cs="Times New Roman"/>
      <w:sz w:val="22"/>
      <w:szCs w:val="28"/>
      <w:lang w:val="en-US" w:eastAsia="en-US"/>
    </w:rPr>
  </w:style>
  <w:style w:type="character" w:styleId="WW8Num6z1">
    <w:name w:val="WW8Num6z1"/>
    <w:qFormat/>
    <w:rPr>
      <w:rFonts w:ascii="Courier New" w:hAnsi="Courier New" w:cs="Courier New"/>
    </w:rPr>
  </w:style>
  <w:style w:type="character" w:styleId="WW8Num6z2">
    <w:name w:val="WW8Num6z2"/>
    <w:qFormat/>
    <w:rPr>
      <w:rFonts w:ascii="Wingdings" w:hAnsi="Wingdings" w:cs="Wingdings"/>
    </w:rPr>
  </w:style>
  <w:style w:type="character" w:styleId="WW8Num6z3">
    <w:name w:val="WW8Num6z3"/>
    <w:qFormat/>
    <w:rPr>
      <w:rFonts w:ascii="Symbol" w:hAnsi="Symbol" w:cs="Symbol"/>
    </w:rPr>
  </w:style>
  <w:style w:type="character" w:styleId="WW8Num7z0">
    <w:name w:val="WW8Num7z0"/>
    <w:qFormat/>
    <w:rPr>
      <w:lang w:val="en-US" w:eastAsia="en-US"/>
    </w:rPr>
  </w:style>
  <w:style w:type="character" w:styleId="WW8Num7z1">
    <w:name w:val="WW8Num7z1"/>
    <w:qFormat/>
    <w:rPr/>
  </w:style>
  <w:style w:type="character" w:styleId="WW8Num7z2">
    <w:name w:val="WW8Num7z2"/>
    <w:qFormat/>
    <w:rPr/>
  </w:style>
  <w:style w:type="character" w:styleId="WW8Num7z3">
    <w:name w:val="WW8Num7z3"/>
    <w:qFormat/>
    <w:rPr/>
  </w:style>
  <w:style w:type="character" w:styleId="WW8Num7z4">
    <w:name w:val="WW8Num7z4"/>
    <w:qFormat/>
    <w:rPr/>
  </w:style>
  <w:style w:type="character" w:styleId="WW8Num7z5">
    <w:name w:val="WW8Num7z5"/>
    <w:qFormat/>
    <w:rPr/>
  </w:style>
  <w:style w:type="character" w:styleId="WW8Num7z6">
    <w:name w:val="WW8Num7z6"/>
    <w:qFormat/>
    <w:rPr/>
  </w:style>
  <w:style w:type="character" w:styleId="WW8Num7z7">
    <w:name w:val="WW8Num7z7"/>
    <w:qFormat/>
    <w:rPr/>
  </w:style>
  <w:style w:type="character" w:styleId="WW8Num7z8">
    <w:name w:val="WW8Num7z8"/>
    <w:qFormat/>
    <w:rPr/>
  </w:style>
  <w:style w:type="character" w:styleId="Carpredefinitoparagrafo">
    <w:name w:val="Car. predefinito paragrafo"/>
    <w:qFormat/>
    <w:rPr/>
  </w:style>
  <w:style w:type="character" w:styleId="PidipaginaCarattere">
    <w:name w:val="Piè di pagina Carattere"/>
    <w:qFormat/>
    <w:rPr>
      <w:sz w:val="24"/>
      <w:szCs w:val="24"/>
    </w:rPr>
  </w:style>
  <w:style w:type="paragraph" w:styleId="Heading">
    <w:name w:val="Heading"/>
    <w:basedOn w:val="Normal"/>
    <w:next w:val="TextBody"/>
    <w:qFormat/>
    <w:pPr>
      <w:keepNext w:val="true"/>
      <w:spacing w:before="240" w:after="120"/>
    </w:pPr>
    <w:rPr>
      <w:rFonts w:ascii="Liberation Sans" w:hAnsi="Liberation Sans" w:eastAsia="DejaVu Sans" w:cs="Noto Sans Devanagari"/>
      <w:sz w:val="28"/>
      <w:szCs w:val="28"/>
    </w:rPr>
  </w:style>
  <w:style w:type="paragraph" w:styleId="TextBody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TextBody"/>
    <w:pPr/>
    <w:rPr>
      <w:rFonts w:cs="Noto Sans Devanagari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Noto Sans Devanagari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Noto Sans Devanagari"/>
    </w:rPr>
  </w:style>
  <w:style w:type="paragraph" w:styleId="HeaderandFooter">
    <w:name w:val="Header and Footer"/>
    <w:basedOn w:val="Normal"/>
    <w:qFormat/>
    <w:pPr>
      <w:suppressLineNumbers/>
      <w:tabs>
        <w:tab w:val="clear" w:pos="708"/>
        <w:tab w:val="center" w:pos="4986" w:leader="none"/>
        <w:tab w:val="right" w:pos="9972" w:leader="none"/>
      </w:tabs>
    </w:pPr>
    <w:rPr/>
  </w:style>
  <w:style w:type="paragraph" w:styleId="Header">
    <w:name w:val="Header"/>
    <w:basedOn w:val="Normal"/>
    <w:pPr>
      <w:tabs>
        <w:tab w:val="clear" w:pos="708"/>
        <w:tab w:val="center" w:pos="4819" w:leader="none"/>
        <w:tab w:val="right" w:pos="9638" w:leader="none"/>
      </w:tabs>
    </w:pPr>
    <w:rPr/>
  </w:style>
  <w:style w:type="paragraph" w:styleId="Footer">
    <w:name w:val="Footer"/>
    <w:basedOn w:val="Normal"/>
    <w:pPr>
      <w:tabs>
        <w:tab w:val="clear" w:pos="708"/>
        <w:tab w:val="center" w:pos="4819" w:leader="none"/>
        <w:tab w:val="right" w:pos="9638" w:leader="none"/>
      </w:tabs>
    </w:pPr>
    <w:rPr>
      <w:lang w:val="en-US"/>
    </w:rPr>
  </w:style>
  <w:style w:type="numbering" w:styleId="WW8Num1">
    <w:name w:val="WW8Num1"/>
    <w:qFormat/>
  </w:style>
  <w:style w:type="numbering" w:styleId="WW8Num2">
    <w:name w:val="WW8Num2"/>
    <w:qFormat/>
  </w:style>
  <w:style w:type="numbering" w:styleId="WW8Num3">
    <w:name w:val="WW8Num3"/>
    <w:qFormat/>
  </w:style>
  <w:style w:type="numbering" w:styleId="WW8Num4">
    <w:name w:val="WW8Num4"/>
    <w:qFormat/>
  </w:style>
  <w:style w:type="numbering" w:styleId="WW8Num5">
    <w:name w:val="WW8Num5"/>
    <w:qFormat/>
  </w:style>
  <w:style w:type="numbering" w:styleId="WW8Num6">
    <w:name w:val="WW8Num6"/>
    <w:qFormat/>
  </w:style>
  <w:style w:type="numbering" w:styleId="WW8Num7">
    <w:name w:val="WW8Num7"/>
    <w:qFormat/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image" Target="media/image1.png"/><Relationship Id="rId3" Type="http://schemas.openxmlformats.org/officeDocument/2006/relationships/header" Target="header1.xml"/><Relationship Id="rId4" Type="http://schemas.openxmlformats.org/officeDocument/2006/relationships/footer" Target="footer1.xml"/><Relationship Id="rId5" Type="http://schemas.openxmlformats.org/officeDocument/2006/relationships/numbering" Target="numbering.xml"/><Relationship Id="rId6" Type="http://schemas.openxmlformats.org/officeDocument/2006/relationships/fontTable" Target="fontTable.xml"/><Relationship Id="rId7" Type="http://schemas.openxmlformats.org/officeDocument/2006/relationships/settings" Target="settings.xml"/>
</Relationships>
</file>

<file path=word/_rels/header1.xml.rels><?xml version="1.0" encoding="UTF-8"?>
<Relationships xmlns="http://schemas.openxmlformats.org/package/2006/relationships"><Relationship Id="rId1" Type="http://schemas.openxmlformats.org/officeDocument/2006/relationships/image" Target="media/image2.wmf"/>
</Relationships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32</TotalTime>
  <Application>LibreOffice/6.4.7.2$Linux_X86_64 LibreOffice_project/40$Build-2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2018-02-15T13:08:00Z</dcterms:created>
  <dc:creator>A</dc:creator>
  <dc:description/>
  <cp:keywords/>
  <dc:language>en-US</dc:language>
  <cp:lastModifiedBy>utente</cp:lastModifiedBy>
  <cp:lastPrinted>2010-10-29T13:21:00Z</cp:lastPrinted>
  <dcterms:modified xsi:type="dcterms:W3CDTF">2019-09-10T14:39:00Z</dcterms:modified>
  <cp:revision>11</cp:revision>
  <dc:subject/>
  <dc:title>                                </dc:title>
</cp:coreProperties>
</file>