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DI AGGIORNAMENTO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PROFESSIONALE ANNUALE OBBLIGATORIO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 Regolamento IVASS n. 40/2018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(Valido anche ai sensi della formazione obbligatoria sulla normativa antiriciclaggio prevista dalla Legge 231/07)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30 ore in modalità di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Aree tematiche trattate: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contrattuale e prodotti.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giuridica.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tecnica assicurativa e riassicurativa.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amministrativa e gestionale.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informatica.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Avv. A. Sgueglia, Avv. C. Gugliotta, Dott.ssa C. di Vico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Il Coordinatore Scientifico e i docenti hanno maturato una comprovata esperienza oltre che quinquennale nelle materie di cui alla lettera a) comma 3 art. 96 del Regolamento IVASS n. 40/2018.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Verbale delle procedure del test di verifica</w:t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                   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giorno [DATECOMPLETE] alle ore [ORA] il candidato Firstname Lastname CF [CF], frequentate le 30 ore di aggiornamento con modalità di e-learning sulla piattaforma didattica di RB Consulting Srl, ha svolto il test di verifica finale relativo al corso di aggiornamento ai fini IVASS.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corso fornito da RB Consulting Srl, con sede legale in via Crescenzio, 25 - 00193 Roma (RM), PI 17044041006, è rispondente ai dettati normativi contenuti nel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test di verifica, somministrato in modalità e-learning, è articolato in un questionario a scelta multipla e risposta singola.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candidato ha superato il test con votazione [VOTO] e la Segreteria Didattica di RB Consulting ha provveduto a rilasciare l’attestato in formato digitale ai sensi dell’art. 90 del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drawing>
          <wp:anchor behindDoc="1" distT="0" distB="0" distL="0" distR="0" simplePos="0" locked="0" layoutInCell="1" allowOverlap="1" relativeHeight="4">
            <wp:simplePos x="0" y="0"/>
            <wp:positionH relativeFrom="column">
              <wp:posOffset>4143375</wp:posOffset>
            </wp:positionH>
            <wp:positionV relativeFrom="paragraph">
              <wp:posOffset>8890</wp:posOffset>
            </wp:positionV>
            <wp:extent cx="1693545" cy="934085"/>
            <wp:effectExtent l="0" t="0" r="0" b="0"/>
            <wp:wrapNone/>
            <wp:docPr id="3" name="Immagin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L</w:t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ì [TODAY], Roma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  <w:t xml:space="preserve">                                         </w:t>
      </w:r>
      <w:r>
        <w:rPr>
          <w:rFonts w:eastAsia="Times New Roman" w:cs="Times New Roman" w:ascii="Times New Roman" w:hAnsi="Times New Roman"/>
          <w:i/>
          <w:sz w:val="26"/>
          <w:szCs w:val="26"/>
          <w:lang w:eastAsia="it-IT"/>
        </w:rPr>
        <w:t>Giuseppe Russo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8"/>
          <w:szCs w:val="28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  <w:lang w:eastAsia="it-IT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 Regolamento IVASS n. 40 del 2018 e aggiornato alle ultime novità normative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contrattuale e prodotti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dei prodotti di investimento assicurativi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delle polizze vita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delle esigenze dei consumatori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dei vantaggi e degli svantaggi delle diverse opzioni di investimento per gli assicurati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dei rischi finanziari sostenuti dagli assicurati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Mercato delle assicurazioni e mercato dei prodotti di risparmio e dei servizi finanziari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Organizzazione e benefici garantiti dal sistema pensionistico dello Stato italiano</w:t>
      </w:r>
    </w:p>
    <w:p>
      <w:pPr>
        <w:pStyle w:val="Normal"/>
        <w:spacing w:lineRule="auto" w:line="240" w:before="0" w:after="0"/>
        <w:ind w:left="1985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giuridica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Solvency II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Impresa di assicurazione - condizioni di accesso e di esercizio e regime di operatività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Controlli sull’impresa di assicurazione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Direttiva IDD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Intermediazione assicurativa e riassicurativa - condizioni di accesso e di esercizio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Disciplina normativa in materia di POG e regole di comportamento per gli intermediari assicurativi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Obblighi imposti agli intermediari dalla IDD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Sanzioni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Contratto di assicurazione e di riassicurazione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La tutela del contraente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Antiriciclaggio e contrasto al finanziamento del terrorismo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Normativa in materia di protezione dei dati personali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Vigilanza sulle imprese e sugli intermediari</w:t>
      </w:r>
    </w:p>
    <w:p>
      <w:pPr>
        <w:pStyle w:val="Normal"/>
        <w:spacing w:lineRule="auto" w:line="240" w:before="0" w:after="0"/>
        <w:ind w:left="2007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tecnica assicurativa e riassicurativa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Classificazione per rami di attività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Principali tipologie di assicurazioni</w:t>
      </w:r>
    </w:p>
    <w:p>
      <w:pPr>
        <w:pStyle w:val="Normal"/>
        <w:spacing w:lineRule="auto" w:line="240" w:before="0" w:after="0"/>
        <w:ind w:left="1985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amministrativa e gestionale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Calibri" w:cs="Times New Roman" w:ascii="Times New Roman" w:hAnsi="Times New Roman"/>
          <w:sz w:val="24"/>
        </w:rPr>
        <w:t>Procedure e modalità assuntive e distributive adottate dall’impresa con cui l’intermediario opera</w:t>
      </w:r>
    </w:p>
    <w:p>
      <w:pPr>
        <w:pStyle w:val="Normal"/>
        <w:spacing w:lineRule="auto" w:line="240" w:before="0" w:after="0"/>
        <w:ind w:left="1985" w:right="850" w:hanging="0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informatica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Sicurezza informatica e protezione dei dati (durata 6h)</w:t>
      </w:r>
    </w:p>
    <w:p>
      <w:pPr>
        <w:pStyle w:val="ListParagraph"/>
        <w:spacing w:lineRule="auto" w:line="240" w:before="0" w:after="0"/>
        <w:ind w:left="1276" w:hanging="0"/>
        <w:contextualSpacing/>
        <w:jc w:val="both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4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28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2007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4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6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60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2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67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2705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4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1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8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5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3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0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7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465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3</Pages>
  <Words>549</Words>
  <Characters>3135</Characters>
  <CharactersWithSpaces>3677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2023-05-19T08:30:00Z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