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30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Avv. A. Sgueglia,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giorno [DATECOMPLETE] alle ore [ORA] il candidato Firstname Lastname CF [CF], frequentate le 30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</w:t>
      </w:r>
      <w:bookmarkStart w:id="0" w:name="_GoBack"/>
      <w:bookmarkEnd w:id="0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svantaggi delle diverse opzioni di investimento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Aspetti gestionali dell’impresa di assicurazione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della impresa assicurativa in Italia e all'estero - stabilimento e servizi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Obblighi imposti agli intermediari dalla IDD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La tutela del contraente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antiterrorismo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ABF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Privacy (GPDPR)</w:t>
      </w:r>
    </w:p>
    <w:p>
      <w:pPr>
        <w:pStyle w:val="Normal"/>
        <w:spacing w:lineRule="auto" w:line="240" w:before="0" w:after="0"/>
        <w:ind w:left="200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Assicurazione di responsabilità civile in ambito professionale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Novità nel settore rc auto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L'impatto della blockchain nel settore assicurativo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pensionistiche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Ciclo operativo ed economico delle imprese di assicurazione e di riassicurazione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Fusione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Gestione dei sinistri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Marketing delle assicurazioni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6230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230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10509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1050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FB67C-FB5F-45C4-B21E-C3061BE0D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3</Pages>
  <Words>500</Words>
  <Characters>2852</Characters>
  <CharactersWithSpaces>3346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Employee</cp:lastModifiedBy>
  <cp:lastPrinted>2023-01-09T09:22:00Z</cp:lastPrinted>
  <dcterms:modified xsi:type="dcterms:W3CDTF">2024-12-30T11:00:00Z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