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DI AGGIORNAMENTO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PROFESSIONALE ANNUALE OBBLIGATORIO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>ai sensi del Regolamento IVASS n. 40/2018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(Valido anche ai sensi della formazione obbligatoria sulla normativa antiriciclaggio prevista dalla Legge 231/07)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Ore di docenza impartite</w:t>
      </w:r>
      <w:r>
        <w:rPr>
          <w:rFonts w:cs="Times New Roman" w:ascii="Times New Roman" w:hAnsi="Times New Roman"/>
          <w:sz w:val="24"/>
          <w:szCs w:val="24"/>
        </w:rPr>
        <w:t>: 30 ore in modalità di e-learning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Aree tematiche trattate: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contrattuale e prodotti.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giuridica.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tecnica assicurativa e riassicurativa.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amministrativa e gestionale.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informatica.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Docenti:</w:t>
      </w:r>
      <w:r>
        <w:rPr>
          <w:rFonts w:cs="Times New Roman" w:ascii="Times New Roman" w:hAnsi="Times New Roman"/>
          <w:sz w:val="24"/>
          <w:szCs w:val="24"/>
        </w:rPr>
        <w:t xml:space="preserve"> Avv. A. Sgueglia, Avv. C. Gugliotta, Dott.ssa C. di Vico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Il Coordinatore Scientifico e i docenti hanno maturato una comprovata esperienza oltre che quinquennale nelle materie di cui alla lettera a) comma 3 art. 96 del Regolamento IVASS n. 40/2018.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4718685</wp:posOffset>
            </wp:positionH>
            <wp:positionV relativeFrom="paragraph">
              <wp:posOffset>393065</wp:posOffset>
            </wp:positionV>
            <wp:extent cx="1693545" cy="934085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i/>
          <w:iCs/>
          <w:sz w:val="28"/>
          <w:szCs w:val="28"/>
        </w:rPr>
        <w:t>R</w:t>
      </w:r>
      <w:r>
        <w:rPr>
          <w:rFonts w:cs="Times New Roman" w:ascii="Times New Roman" w:hAnsi="Times New Roman"/>
          <w:i/>
          <w:iCs/>
          <w:sz w:val="28"/>
          <w:szCs w:val="28"/>
        </w:rPr>
        <w:t>oma, lì DATECERT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2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irma del Partecipante </w:t>
        <w:tab/>
        <w:tab/>
        <w:tab/>
        <w:tab/>
        <w:tab/>
        <w:tab/>
        <w:t xml:space="preserve">               Firma del Responsabile</w:t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Verbale delle procedure del test di verifica</w:t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                   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giorno [DATECOMPLETE] alle ore [ORA] il candidato Firstname Lastname CF [CF], frequentate le 30 ore di aggiornamento con modalità di e-learning sulla piattaforma didattica di RB Consulting Srl, ha svolto il test di verifica finale relativo al corso di aggiornamento ai fini IVASS.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corso fornito da RB Consulting Srl, con sede legale in via Crescenzio, 25 - 00193 Roma (RM), PI 17044041006, è rispondente ai dettati normativi contenuti nel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Il test di verifica, somministrato in modalità e-learning, è articolato in un questionario a scelta multipla e risposta singola.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candidato ha superato il test con votazione [VOTO] e la Segreteria Didattica di RB Consulting ha provveduto a rilasciare l’attestato in formato digitale ai sensi dell’art. 90 del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drawing>
          <wp:anchor behindDoc="1" distT="0" distB="0" distL="0" distR="0" simplePos="0" locked="0" layoutInCell="1" allowOverlap="1" relativeHeight="4">
            <wp:simplePos x="0" y="0"/>
            <wp:positionH relativeFrom="column">
              <wp:posOffset>4143375</wp:posOffset>
            </wp:positionH>
            <wp:positionV relativeFrom="paragraph">
              <wp:posOffset>8890</wp:posOffset>
            </wp:positionV>
            <wp:extent cx="1693545" cy="934085"/>
            <wp:effectExtent l="0" t="0" r="0" b="0"/>
            <wp:wrapNone/>
            <wp:docPr id="3" name="Immagin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L</w:t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ì [TODAY], Roma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  <w:t xml:space="preserve">                                         </w:t>
      </w:r>
      <w:r>
        <w:rPr>
          <w:rFonts w:eastAsia="Times New Roman" w:cs="Times New Roman" w:ascii="Times New Roman" w:hAnsi="Times New Roman"/>
          <w:i/>
          <w:sz w:val="26"/>
          <w:szCs w:val="26"/>
          <w:lang w:eastAsia="it-IT"/>
        </w:rPr>
        <w:t>Giuseppe Russo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8"/>
          <w:szCs w:val="28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  <w:lang w:eastAsia="it-IT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Programma del corso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Corso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conforme al Regolamento IVASS n. 40 del 2018 e aggiornato alle ultime novità normative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contrattuale e prodotti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Condizioni contrattuali delle polizze vita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Il diritto di recesso e il diritto di revoca nelle polizze vita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Mercato delle assicurazioni e mercato dei prodotti di risparmio e dei servizi finanziari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Organizzazione e benefici garantiti dal sistema pensionistico dello stato italiano</w:t>
      </w:r>
    </w:p>
    <w:p>
      <w:pPr>
        <w:pStyle w:val="Normal"/>
        <w:spacing w:lineRule="auto" w:line="240" w:before="0" w:after="0"/>
        <w:ind w:left="1985"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giuridica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Esercizio della impresa assicurativa in Italia e all'estero - stabilimento e servizi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Intermediazione assicurativa e riassicurativa – Condizioni di accesso e di esercizio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Distribuzione assicurativa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Tutela dell’assicurando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Antiriciclaggio e antiterrorismo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Privacy (GDPR)</w:t>
      </w:r>
    </w:p>
    <w:p>
      <w:pPr>
        <w:pStyle w:val="Normal"/>
        <w:spacing w:lineRule="auto" w:line="240" w:before="0" w:after="0"/>
        <w:ind w:left="2007"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tecnica assicurativa e riassicurativa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Principali tipologie di assicurazioni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Gli smart contract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Polizze D&amp;O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Riassicurazione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Gestione del rischio nel settore assicurativo</w:t>
      </w:r>
    </w:p>
    <w:p>
      <w:pPr>
        <w:pStyle w:val="Normal"/>
        <w:spacing w:lineRule="auto" w:line="240" w:before="0" w:after="0"/>
        <w:ind w:left="1985"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amministrativa e gestionale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  <w:t>I principi contabili internazionali e l’incidenza sui bilanci assicurativi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  <w:t>Whistleblowing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  <w:t>Chatbot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  <w:t>Intelligenza artificiale e machine learning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  <w:t>Marketing e comunicazione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  <w:t>CRM</w:t>
      </w:r>
    </w:p>
    <w:p>
      <w:pPr>
        <w:pStyle w:val="Normal"/>
        <w:spacing w:lineRule="auto" w:line="240" w:before="0" w:after="0"/>
        <w:ind w:left="1985" w:right="850" w:hanging="0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informatica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Sicurezza informatica e protezione dei dati (durata 6h)</w:t>
      </w:r>
    </w:p>
    <w:p>
      <w:pPr>
        <w:pStyle w:val="ListParagraph"/>
        <w:spacing w:lineRule="auto" w:line="240" w:before="0" w:after="0"/>
        <w:ind w:left="1276" w:hanging="0"/>
        <w:contextualSpacing/>
        <w:jc w:val="both"/>
        <w:rPr>
          <w:rFonts w:ascii="Times New Roman" w:hAnsi="Times New Roman" w:cs="Times New Roman"/>
          <w:sz w:val="32"/>
          <w:szCs w:val="32"/>
        </w:rPr>
      </w:pPr>
      <w:r>
        <w:rPr/>
      </w:r>
    </w:p>
    <w:sectPr>
      <w:headerReference w:type="default" r:id="rId5"/>
      <w:footerReference w:type="default" r:id="rId6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Vani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4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287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00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72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44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16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8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60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32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047" w:hanging="180"/>
      </w:p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-"/>
      <w:lvlJc w:val="left"/>
      <w:pPr>
        <w:tabs>
          <w:tab w:val="num" w:pos="0"/>
        </w:tabs>
        <w:ind w:left="2007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72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44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16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88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60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32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04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767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-"/>
      <w:lvlJc w:val="left"/>
      <w:pPr>
        <w:tabs>
          <w:tab w:val="num" w:pos="0"/>
        </w:tabs>
        <w:ind w:left="2705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4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41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8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5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3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0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7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465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BFFB0-90FE-49A8-A3D6-63ECBD5FC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3</Pages>
  <Words>485</Words>
  <Characters>2768</Characters>
  <CharactersWithSpaces>3247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2024-11-04T09:07:00Z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