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44"/>
          <w:szCs w:val="44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44"/>
          <w:lang w:val="en-US" w:eastAsia="en-US"/>
        </w:rPr>
      </w:pPr>
      <w:r>
        <w:rPr>
          <w:i/>
          <w:sz w:val="20"/>
          <w:szCs w:val="44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40"/>
          <w:szCs w:val="40"/>
          <w:lang w:val="en-US" w:eastAsia="en-US"/>
        </w:rPr>
      </w:pPr>
      <w:r>
        <w:rPr>
          <w:i/>
          <w:sz w:val="40"/>
          <w:szCs w:val="40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40"/>
          <w:lang w:val="en-US" w:eastAsia="en-US"/>
        </w:rPr>
      </w:pPr>
      <w:r>
        <w:rPr>
          <w:i/>
          <w:sz w:val="28"/>
          <w:szCs w:val="40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60H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 e al Regolamento IVASS n. 40 del 2018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Prof. Avv. Giuseppe Russo -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[CF], frequentate le 60 ore di </w:t>
      </w:r>
      <w:r>
        <w:rPr>
          <w:sz w:val="26"/>
          <w:szCs w:val="26"/>
        </w:rPr>
        <w:t xml:space="preserve">prima formazione </w:t>
      </w:r>
      <w:r>
        <w:rPr>
          <w:sz w:val="26"/>
          <w:szCs w:val="20"/>
        </w:rPr>
        <w:t xml:space="preserve">con modalità di e-learning sulla piattaforma didattica di R&amp;B Consulting Srl, ha svolto il test di verifica finale relativo al corso di </w:t>
      </w:r>
      <w:r>
        <w:rPr>
          <w:sz w:val="26"/>
          <w:szCs w:val="26"/>
        </w:rPr>
        <w:t>prima formazione ai fini IVASS</w:t>
      </w:r>
      <w:r>
        <w:rPr>
          <w:sz w:val="26"/>
          <w:szCs w:val="20"/>
        </w:rPr>
        <w:t xml:space="preserve">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test di verifica, somministrato in modalità e-learning (</w:t>
      </w:r>
      <w:r>
        <w:rPr>
          <w:i/>
          <w:sz w:val="26"/>
          <w:szCs w:val="20"/>
        </w:rPr>
        <w:t>come disposto dall’IVASS a seguito dell’emergenza da Covid19</w:t>
      </w:r>
      <w:r>
        <w:rPr>
          <w:sz w:val="26"/>
          <w:szCs w:val="20"/>
        </w:rPr>
        <w:t xml:space="preserve">),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1. Area contrattuale e prodotti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Condizioni contrattuali delle polizze vita (coperture, costi ed esclusioni), compresi i benefici garantiti e i rischi accessori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delle esigenze dei consumatori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dei vantaggi e degli svantaggi delle diverse opzioni di investimento per 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dei rischi finanziari sostenuti dagli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Mercato delle assicurazioni e mercato dei prodotti di risparmio e dei servizi finanziari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Organizzazione e benefici garantiti dal sistema pensionistico dello Stato italiano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2. Area giuridica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Solvency II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Impresa di riassicurazione - condizioni di accesso e esercizio e regime di operatività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Controlli sull’impresa di assicurazione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Norme che disciplinano la distribuzione dei prodotti assicurativi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Regole generali di comportamento e gestione dei conflitti di interesse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Sanzioni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Conoscenza degli standard di etica professionale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Contratto di assicurazione e di riassicurazione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Norme in materia di protezione e tutela del consumatore e Codice del consumo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Antiriciclaggio e contrasto al finanziamento del terrorismo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Mifid 2 e Regomento Priips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Psd 2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Normativa in materia di protezione dei dati personali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Vigilanza sulle imprese e sugli intermediari</w:t>
      </w:r>
    </w:p>
    <w:p>
      <w:pPr>
        <w:pStyle w:val="Normal"/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3. Area tecnica assicurativa e riassicurativa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Classificazione per rami di attività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Principali tipologie di coperture assicurative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Assicurazioni contro i danni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Assicurazioni obbligatorie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Principali tipologie di coperture riassicurative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Elementi tariffari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Elementi di tecniche di analisi dei rischi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Trattamento fiscale dei vari tipi di polizze vita e prodotti pensionistici</w:t>
      </w:r>
    </w:p>
    <w:p>
      <w:pPr>
        <w:pStyle w:val="Normal"/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4. Area amministrativa e gestionale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Elementi di contabilità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Gestione dei reclami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Sistemi alternativi di risoluzione delle liti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Gestione dei sinistri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Gestione dei rapporti con il cliente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Marketing e tecniche di comunicazione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Capacità di ascoltare e decodificare i bisogni della clientela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5. Area informatica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Strumenti di Office Automation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Navigazione web e utilizzo di internet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Applicazioni/procedure e altre tecnologie predisposte dall’impresa/e con cuil’intermediario opera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/>
      </w:pPr>
      <w:r>
        <w:rPr>
          <w:szCs w:val="28"/>
          <w:lang w:val="en-US" w:eastAsia="en-US"/>
        </w:rPr>
        <w:t>Sicurezza informatica e protezione dei dati (durata 6h)</w:t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Calibri" w:cs="Times New Roman"/>
      <w:szCs w:val="28"/>
      <w:lang w:val="en-US" w:eastAsia="en-U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lang w:val="en-US" w:eastAsia="en-US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Employee</cp:lastModifiedBy>
  <cp:lastPrinted>2010-10-29T13:21:00Z</cp:lastPrinted>
  <dcterms:modified xsi:type="dcterms:W3CDTF">2021-05-24T11:33:00Z</dcterms:modified>
  <cp:revision>14</cp:revision>
  <dc:subject/>
  <dc:title>                                </dc:title>
</cp:coreProperties>
</file>