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>CF: idst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52"/>
          <w:lang w:val="en-US" w:eastAsia="en-US"/>
        </w:rPr>
      </w:pPr>
      <w:r>
        <w:rPr>
          <w:i/>
          <w:sz w:val="28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60H 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60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IVASS n. 58 del 2017, al Regolamento IVASS n. 44 del 2019, al Regolamento IVASS n. 40 del 2018 (modificato e integrato dal Provvedimento IVASS n. 97 del 2020) e al Regolamento IVASS n. 45 del 2020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Prof. Avv. Giuseppe Russo - Avv. C. Gugliotta - Avv. Angela Sgueglia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60 ore di </w:t>
      </w:r>
      <w:r>
        <w:rPr>
          <w:sz w:val="26"/>
          <w:szCs w:val="26"/>
        </w:rPr>
        <w:t xml:space="preserve">prima formazione </w:t>
      </w:r>
      <w:r>
        <w:rPr>
          <w:sz w:val="26"/>
          <w:szCs w:val="20"/>
        </w:rPr>
        <w:t xml:space="preserve">con modalità di e-learning sulla piattaforma didattica di R&amp;B Consulting Srl, ha svolto il test di verifica finale relativo al corso di </w:t>
      </w:r>
      <w:r>
        <w:rPr>
          <w:sz w:val="26"/>
          <w:szCs w:val="26"/>
        </w:rPr>
        <w:t>prima formazione ai fini IVASS</w:t>
      </w:r>
      <w:r>
        <w:rPr>
          <w:sz w:val="26"/>
          <w:szCs w:val="20"/>
        </w:rPr>
        <w:t xml:space="preserve">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test di verifica, somministrato in modalità e-learning </w:t>
      </w:r>
      <w:r>
        <w:rPr>
          <w:sz w:val="26"/>
          <w:szCs w:val="26"/>
        </w:rPr>
        <w:t>(</w:t>
      </w:r>
      <w:r>
        <w:rPr>
          <w:i/>
          <w:iCs/>
          <w:sz w:val="26"/>
          <w:szCs w:val="26"/>
        </w:rPr>
        <w:t>come disposto dall’IVASS a seguito dell’emergenza da Covid19</w:t>
      </w:r>
      <w:r>
        <w:rPr>
          <w:sz w:val="26"/>
          <w:szCs w:val="26"/>
        </w:rPr>
        <w:t>)</w:t>
      </w:r>
      <w:r>
        <w:rPr>
          <w:sz w:val="26"/>
          <w:szCs w:val="20"/>
        </w:rPr>
        <w:t xml:space="preserve">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6"/>
        </w:rPr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7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i/>
          <w:i/>
          <w:szCs w:val="40"/>
          <w:u w:val="single"/>
          <w:lang w:val="en-US" w:eastAsia="en-US"/>
        </w:rPr>
      </w:pPr>
      <w:r>
        <w:rPr>
          <w:b/>
          <w:i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*</w:t>
      </w:r>
      <w:r>
        <w:rPr/>
        <w:t xml:space="preserve"> </w:t>
      </w:r>
      <w:r>
        <w:rPr>
          <w:i/>
          <w:szCs w:val="26"/>
          <w:lang w:val="en-US" w:eastAsia="en-US"/>
        </w:rPr>
        <w:t>Corso</w:t>
      </w:r>
      <w:r>
        <w:rPr/>
        <w:t xml:space="preserve"> </w:t>
      </w:r>
      <w:r>
        <w:rPr>
          <w:i/>
          <w:szCs w:val="26"/>
          <w:lang w:val="en-US" w:eastAsia="en-US"/>
        </w:rPr>
        <w:t xml:space="preserve">aggiornato al D.Lgs. n. 74 del 2015, alla Direttiva 2016/97/UE (IDD),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UE 2016/679 (GDPR), al Provvedimento IVASS n. 58 del 2017,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IVASS n. 44 del 2019, al Regolamento IVASS n. 40 del 2018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(modificato e integrato dal Provvedimento IVASS n. 97 del 2020) e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al Regolamento IVASS n. 45 del 2020</w:t>
      </w:r>
    </w:p>
    <w:p>
      <w:pPr>
        <w:pStyle w:val="Normal"/>
        <w:jc w:val="both"/>
        <w:rPr>
          <w:szCs w:val="22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contrattuale e prodotti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Valutazione delle esigenze dei consumatori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Valutazione dei rischi finanziari sostenuti dagli assicurati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ListParagraph"/>
        <w:ind w:left="1985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giuridica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Solvency II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Impresa di assicurazione - condizioni di accesso e di esercizio e regime di operatività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Controlli sull’impresa di assicurazione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Sanzioni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Conoscenza degli standard di etica professionale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Contratto di assicurazione e di riassicurazione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Antiriciclaggio e contrasto al finanziamento del terrorismo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Mifid 2 e Regomento Priips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Psd 2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ListParagraph"/>
        <w:ind w:left="2007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ind w:left="2007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Normativa in materia di protezione dei dati personali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Vigilanza sulle imprese e sugli intermediari</w:t>
      </w:r>
    </w:p>
    <w:p>
      <w:pPr>
        <w:pStyle w:val="ListParagraph"/>
        <w:ind w:left="1287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tecnica assicurativa e riassicurativa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Classificazione per rami di attività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Principali tipologie di coperture assicurative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Assicurazioni contro i danni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Assicurazioni obbligatorie e novità nel settore rc auto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Principali tipologie di coperture riassicurative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Elementi tariffari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Elementi di tecniche di analisi dei rischi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ind w:left="360" w:right="850" w:hanging="0"/>
        <w:jc w:val="both"/>
        <w:rPr>
          <w:rFonts w:ascii="Times New Roman" w:hAnsi="Times New Roman" w:eastAsia="Calibri" w:cs="Times New Roman"/>
          <w:sz w:val="24"/>
          <w:szCs w:val="22"/>
        </w:rPr>
      </w:pPr>
      <w:r>
        <w:rPr>
          <w:rFonts w:eastAsia="Calibri" w:cs="Times New Roman"/>
          <w:sz w:val="24"/>
          <w:szCs w:val="22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Ciclo operativo ed economico delle imprese di assicurazione e riassicurazione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Elementi di contabilità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Programmazione, analisi e controllo di gestione dell’intermediario assicurativo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reclami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Sistemi alternativi di risoluzione delle liti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sinistri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rapporti con il cliente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szCs w:val="22"/>
        </w:rPr>
      </w:pPr>
      <w:r>
        <w:rPr>
          <w:rFonts w:eastAsia="Calibri"/>
          <w:szCs w:val="22"/>
          <w:lang w:eastAsia="en-US"/>
        </w:rPr>
        <w:t>Marketing e tecniche di comunicazione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szCs w:val="22"/>
        </w:rPr>
      </w:pPr>
      <w:r>
        <w:rPr/>
        <w:t>Capacità di ascoltare e decodificare i bisogni della clientela</w:t>
      </w:r>
    </w:p>
    <w:p>
      <w:pPr>
        <w:pStyle w:val="Normal"/>
        <w:ind w:left="1985" w:right="850" w:hanging="0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informatica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Strumenti di Office Automation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Navigazione web e utilizzo di internet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76"/>
        <w:ind w:right="850" w:hanging="0"/>
        <w:rPr>
          <w:rFonts w:ascii="Times New Roman" w:hAnsi="Times New Roman" w:cs="Times New Roman"/>
          <w:sz w:val="22"/>
          <w:szCs w:val="28"/>
          <w:lang w:val="en-US" w:eastAsia="en-US"/>
        </w:rPr>
      </w:pPr>
      <w:r>
        <w:rPr>
          <w:rFonts w:cs="Times New Roman"/>
          <w:sz w:val="22"/>
          <w:szCs w:val="28"/>
          <w:lang w:val="en-US" w:eastAsia="en-US"/>
        </w:rPr>
      </w:r>
    </w:p>
    <w:p>
      <w:pPr>
        <w:pStyle w:val="Normal"/>
        <w:numPr>
          <w:ilvl w:val="0"/>
          <w:numId w:val="0"/>
        </w:numPr>
        <w:spacing w:lineRule="auto" w:line="360"/>
        <w:jc w:val="both"/>
        <w:outlineLvl w:val="0"/>
        <w:rPr>
          <w:rFonts w:ascii="Arial" w:hAnsi="Arial" w:cs="Arial"/>
          <w:b/>
          <w:b/>
          <w:sz w:val="22"/>
          <w:szCs w:val="28"/>
          <w:lang w:val="en-US" w:eastAsia="en-US"/>
        </w:rPr>
      </w:pPr>
      <w:r>
        <w:rPr>
          <w:rFonts w:cs="Arial" w:ascii="Arial" w:hAnsi="Arial"/>
          <w:b/>
          <w:sz w:val="22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rFonts w:ascii="Arial" w:hAnsi="Arial" w:cs="Arial"/>
          <w:b/>
          <w:b/>
          <w:szCs w:val="28"/>
          <w:lang w:val="en-US" w:eastAsia="en-US"/>
        </w:rPr>
      </w:pPr>
      <w:r>
        <w:rPr>
          <w:rFonts w:cs="Arial" w:ascii="Arial" w:hAnsi="Arial"/>
          <w:b/>
          <w:szCs w:val="28"/>
          <w:lang w:val="en-US" w:eastAsia="en-US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an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Vani" w:hAnsi="Vani" w:cs="Vani"/>
      <w:sz w:val="24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Vani" w:hAnsi="Vani" w:eastAsia="Calibri" w:cs="Vani"/>
      <w:szCs w:val="22"/>
      <w:lang w:eastAsia="en-U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Calibri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Calibri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Vani" w:hAnsi="Vani" w:cs="Vani"/>
      <w:sz w:val="24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Vani" w:hAnsi="Vani" w:cs="Vani"/>
      <w:sz w:val="24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Times New Roman" w:hAnsi="Times New Roman" w:eastAsia="Calibri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Times New Roman" w:hAnsi="Times New Roman" w:eastAsia="Calibri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Vani" w:hAnsi="Vani" w:cs="Vani"/>
      <w:sz w:val="24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lang w:val="en-US" w:eastAsia="en-US"/>
    </w:rPr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  <w:jc w:val="center"/>
    </w:pPr>
    <w:rPr>
      <w:rFonts w:ascii="Calibri" w:hAnsi="Calibri" w:eastAsia="Calibri" w:cs="Calibri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2018-02-15T14:08:00Z</dcterms:created>
  <dc:creator>A</dc:creator>
  <dc:description/>
  <cp:keywords/>
  <dc:language>en-US</dc:language>
  <cp:lastModifiedBy>Employee</cp:lastModifiedBy>
  <cp:lastPrinted>2010-10-29T13:21:00Z</cp:lastPrinted>
  <dcterms:modified xsi:type="dcterms:W3CDTF">2023-02-14T13:41:00Z</dcterms:modified>
  <cp:revision>25</cp:revision>
  <dc:subject/>
  <dc:title>                                </dc:title>
</cp:coreProperties>
</file>