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test di verifica, somministrato in modalità e-learning (</w:t>
      </w:r>
      <w:r>
        <w:rPr>
          <w:rFonts w:eastAsia="Times New Roman" w:cs="Times New Roman" w:ascii="Times New Roman" w:hAnsi="Times New Roman"/>
          <w:i/>
          <w:iCs/>
          <w:sz w:val="26"/>
          <w:szCs w:val="26"/>
          <w:lang w:eastAsia="it-IT"/>
        </w:rPr>
        <w:t>come disposto dall’IVASS a seguito dell’emergenza da Covid19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),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785</Words>
  <Characters>4475</Characters>
  <CharactersWithSpaces>5250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2023-05-11T09:20:00Z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