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60 ore di prima formazione con modalità di e-learning sulla piattaforma didattica di RB Consulting Srl, ha svolto il test di verifica finale relativo al corso di prima formazione ai fini IVASS.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test di verifica, somministrato in modalità e-learning (</w:t>
      </w:r>
      <w:r>
        <w:rPr>
          <w:rFonts w:eastAsia="Times New Roman" w:cs="Times New Roman" w:ascii="Times New Roman" w:hAnsi="Times New Roman"/>
          <w:i/>
          <w:iCs/>
          <w:sz w:val="26"/>
          <w:szCs w:val="26"/>
          <w:lang w:eastAsia="it-IT"/>
        </w:rPr>
        <w:t>come disposto dall’IVASS a seguito dell’emergenza da Covid19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),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Solvency II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dell’impresa assicurativa in Italia e all’estero – stabilimento e servizi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obbligatorie e novità nel settore rc auto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4</Pages>
  <Words>787</Words>
  <Characters>4490</Characters>
  <CharactersWithSpaces>5267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2024-12-12T08:31:00Z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