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ANTIRICICLAGGIO E ANTITERRORISMO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1 ora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Argomenti trattati: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L’Anti-Money Laundering Package 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Single rulebook 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Adeguata verifica della clientela 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Trasparenza della titolarità effettiva 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Obblighi di segnalazione 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Conservazione dei dati 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VI Direttiva AML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Registri centrali dei titolari effettivi 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Regolamento AMLA 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Docente:</w:t>
      </w:r>
      <w:r>
        <w:rPr>
          <w:rFonts w:cs="Times New Roman" w:ascii="Times New Roman" w:hAnsi="Times New Roman"/>
          <w:sz w:val="24"/>
          <w:szCs w:val="24"/>
        </w:rPr>
        <w:t xml:space="preserve">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4"/>
      <w:footerReference w:type="default" r:id="rId5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3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120</Words>
  <Characters>687</Characters>
  <CharactersWithSpaces>806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2025-07-30T07:58:00Z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