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40"/>
          <w:u w:val="single"/>
          <w:lang w:val="en-US" w:eastAsia="en-US"/>
        </w:rPr>
      </w:pPr>
      <w:r>
        <w:rPr>
          <w:b/>
          <w:sz w:val="2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PROFESSIONALE 15 ORE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della Circolare n. 19/14 dell’OAM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40"/>
          <w:lang w:val="en-US" w:eastAsia="en-US"/>
        </w:rPr>
      </w:pPr>
      <w:r>
        <w:rPr>
          <w:rFonts w:cs="Verdana" w:ascii="Verdana" w:hAnsi="Verdana"/>
          <w:i/>
          <w:sz w:val="20"/>
          <w:szCs w:val="40"/>
        </w:rPr>
        <w:t>(</w:t>
      </w:r>
      <w:r>
        <w:rPr>
          <w:rFonts w:cs="Verdana" w:ascii="Verdana" w:hAnsi="Verdana"/>
          <w:sz w:val="20"/>
          <w:szCs w:val="40"/>
        </w:rPr>
        <w:t>Aggiornata e modificata il 30 ottobre 2019</w:t>
      </w:r>
      <w:r>
        <w:rPr>
          <w:rFonts w:cs="Verdana" w:ascii="Verdana" w:hAnsi="Verdana"/>
          <w:i/>
          <w:sz w:val="20"/>
          <w:szCs w:val="40"/>
        </w:rPr>
        <w:t>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8"/>
          <w:lang w:val="en-US" w:eastAsia="en-US"/>
        </w:rPr>
      </w:pPr>
      <w:r>
        <w:rPr>
          <w:b/>
          <w:i/>
          <w:sz w:val="20"/>
          <w:szCs w:val="28"/>
          <w:lang w:val="en-US" w:eastAsia="en-US"/>
        </w:rPr>
      </w:r>
    </w:p>
    <w:p>
      <w:pPr>
        <w:pStyle w:val="Normal"/>
        <w:ind w:right="-57" w:hanging="0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15 ore in modalità e-learning </w:t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sz w:val="16"/>
        </w:rPr>
      </w:pPr>
      <w:r>
        <w:rPr>
          <w:b/>
        </w:rPr>
        <w:t xml:space="preserve">Anno di riferimento: </w:t>
      </w:r>
      <w:r>
        <w:rPr/>
        <w:t>2022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284" w:right="425" w:hanging="0"/>
        <w:jc w:val="both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– Avv. A. Sgueglia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right="425" w:hanging="0"/>
        <w:jc w:val="both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Soggetto iscritto negli Elenchi </w:t>
      </w:r>
      <w:r>
        <w:rPr>
          <w:lang w:val="en-US" w:eastAsia="en-US"/>
        </w:rPr>
        <w:t>per conto del quale il partecipante al corso esercità l’attività (ove si tratti di un soggetto diverso dal partecipante):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____________________________________________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4161790</wp:posOffset>
            </wp:positionH>
            <wp:positionV relativeFrom="paragraph">
              <wp:posOffset>163195</wp:posOffset>
            </wp:positionV>
            <wp:extent cx="2665095" cy="63627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conforme alla Circolare n. 19/14 dell’OAM,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aggiornata e modificata il 30 ottobre 2019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993" w:leader="none"/>
          <w:tab w:val="left" w:pos="1418" w:leader="none"/>
        </w:tabs>
        <w:spacing w:lineRule="auto" w:line="276" w:before="0" w:after="200"/>
        <w:ind w:left="1418" w:right="992" w:hanging="284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Il sistema finanziario e l’intermediazione del credito</w:t>
      </w:r>
    </w:p>
    <w:p>
      <w:pPr>
        <w:pStyle w:val="Normal"/>
        <w:numPr>
          <w:ilvl w:val="0"/>
          <w:numId w:val="4"/>
        </w:numPr>
        <w:ind w:left="720" w:firstLine="1123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Servizi e attività di investimento, intermediari, regolamentazione e vigilanza</w:t>
      </w:r>
    </w:p>
    <w:p>
      <w:pPr>
        <w:pStyle w:val="Normal"/>
        <w:spacing w:lineRule="auto" w:line="276" w:before="0" w:after="200"/>
        <w:ind w:left="2268" w:right="992" w:hanging="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3"/>
        </w:numPr>
        <w:spacing w:lineRule="auto" w:line="276" w:before="0" w:after="200"/>
        <w:ind w:left="1418" w:right="992" w:hanging="284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Aspetti tecnici e normativi delle forme di finanziamento</w:t>
      </w:r>
    </w:p>
    <w:p>
      <w:pPr>
        <w:pStyle w:val="Normal"/>
        <w:spacing w:lineRule="auto" w:line="276" w:before="0" w:after="200"/>
        <w:ind w:left="2160" w:right="992" w:hanging="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418" w:leader="none"/>
        </w:tabs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Trasparenza e correttezza nelle relazioni con la clientela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1418" w:leader="none"/>
        </w:tabs>
        <w:spacing w:lineRule="auto" w:line="276" w:before="0" w:after="200"/>
        <w:ind w:left="2127" w:right="992" w:hanging="284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Obblighi</w:t>
      </w:r>
      <w:r>
        <w:rPr/>
        <w:t xml:space="preserve"> </w:t>
      </w:r>
      <w:r>
        <w:rPr>
          <w:rFonts w:eastAsia="Calibri"/>
          <w:sz w:val="22"/>
          <w:szCs w:val="22"/>
          <w:lang w:eastAsia="en-US"/>
        </w:rPr>
        <w:t>di comunicazione e regime di trasparenza</w:t>
      </w:r>
    </w:p>
    <w:p>
      <w:pPr>
        <w:pStyle w:val="Normal"/>
        <w:tabs>
          <w:tab w:val="clear" w:pos="708"/>
          <w:tab w:val="left" w:pos="1418" w:leader="none"/>
        </w:tabs>
        <w:spacing w:lineRule="auto" w:line="276" w:before="0" w:after="0"/>
        <w:ind w:left="1440" w:right="992" w:hanging="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418" w:leader="none"/>
        </w:tabs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Valutazione del merito creditizio</w:t>
      </w:r>
    </w:p>
    <w:p>
      <w:pPr>
        <w:pStyle w:val="Normal"/>
        <w:tabs>
          <w:tab w:val="clear" w:pos="708"/>
          <w:tab w:val="left" w:pos="1418" w:leader="none"/>
        </w:tabs>
        <w:spacing w:lineRule="auto" w:line="276"/>
        <w:ind w:right="992" w:hanging="0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418" w:leader="none"/>
        </w:tabs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antiriciclaggio ed antiusura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left="2127" w:right="992" w:hanging="284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Riciclaggio, finanziamento del terrorismo, V Direttiva, Aspetti generali degli obblighi in capo ai destinatari</w:t>
      </w:r>
    </w:p>
    <w:p>
      <w:pPr>
        <w:pStyle w:val="Normal"/>
        <w:spacing w:lineRule="auto" w:line="276" w:before="0" w:after="200"/>
        <w:ind w:left="2160" w:right="992" w:hanging="0"/>
        <w:contextualSpacing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418" w:leader="none"/>
        </w:tabs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Disciplina dei servizi di pagamento</w:t>
      </w:r>
    </w:p>
    <w:p>
      <w:pPr>
        <w:pStyle w:val="Normal"/>
        <w:spacing w:lineRule="auto" w:line="276" w:before="0" w:after="200"/>
        <w:ind w:left="720" w:right="992" w:hanging="0"/>
        <w:contextualSpacing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418" w:leader="none"/>
        </w:tabs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in tema di intermediazione assicurativa</w:t>
      </w:r>
    </w:p>
    <w:p>
      <w:pPr>
        <w:pStyle w:val="Normal"/>
        <w:numPr>
          <w:ilvl w:val="0"/>
          <w:numId w:val="1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Le operazioni straordinarie delle imprese di assicurazione</w:t>
      </w:r>
    </w:p>
    <w:p>
      <w:pPr>
        <w:pStyle w:val="Normal"/>
        <w:tabs>
          <w:tab w:val="clear" w:pos="708"/>
          <w:tab w:val="left" w:pos="1418" w:leader="none"/>
        </w:tabs>
        <w:spacing w:lineRule="auto" w:line="276" w:before="0" w:after="200"/>
        <w:ind w:left="2127" w:right="992" w:hanging="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Disciplina dei reclami e dell’Arbitro bancario e finanziario</w:t>
      </w:r>
    </w:p>
    <w:p>
      <w:pPr>
        <w:pStyle w:val="Normal"/>
        <w:spacing w:lineRule="auto" w:line="276" w:before="0" w:after="0"/>
        <w:ind w:left="1440" w:right="992" w:hanging="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spacing w:lineRule="auto" w:line="276" w:before="0" w:after="200"/>
        <w:ind w:left="1440" w:right="992" w:hanging="36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in materia di protezione dei dati personali (GDPR)</w:t>
      </w:r>
    </w:p>
    <w:p>
      <w:pPr>
        <w:pStyle w:val="Normal"/>
        <w:spacing w:lineRule="auto" w:line="276" w:before="0" w:after="200"/>
        <w:ind w:left="720" w:right="992" w:hanging="0"/>
        <w:contextualSpacing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76"/>
        <w:ind w:right="992" w:hanging="0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vigente in materia di tutela dei consumatori</w:t>
      </w:r>
    </w:p>
    <w:p>
      <w:pPr>
        <w:pStyle w:val="Normal"/>
        <w:spacing w:lineRule="auto" w:line="276" w:before="0" w:after="200"/>
        <w:ind w:left="1440" w:right="992" w:hanging="0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Organizzazione e funzionamento dei registri immobiliari e adempimenti relativi alla compravendita di immobili</w:t>
      </w:r>
    </w:p>
    <w:p>
      <w:pPr>
        <w:pStyle w:val="Normal"/>
        <w:spacing w:lineRule="auto" w:line="276" w:before="0" w:after="200"/>
        <w:ind w:left="720" w:right="992" w:hanging="0"/>
        <w:contextualSpacing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spacing w:lineRule="auto" w:line="276" w:before="0" w:after="200"/>
        <w:ind w:left="1440" w:right="992" w:hanging="306"/>
        <w:contextualSpacing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Deontologia e correttezza professionale nei rapporti con la clientela</w:t>
      </w:r>
    </w:p>
    <w:p>
      <w:pPr>
        <w:pStyle w:val="Normal"/>
        <w:rPr>
          <w:rFonts w:eastAsia="Calibri"/>
          <w:b/>
          <w:b/>
          <w:i/>
          <w:i/>
          <w:sz w:val="28"/>
          <w:szCs w:val="28"/>
          <w:lang w:val="en-US" w:eastAsia="en-US"/>
        </w:rPr>
      </w:pPr>
      <w:r>
        <w:rPr>
          <w:rFonts w:eastAsia="Calibri"/>
          <w:b/>
          <w:i/>
          <w:sz w:val="28"/>
          <w:szCs w:val="28"/>
          <w:lang w:val="en-US"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993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pt-BR"/>
      </w:rPr>
    </w:pPr>
    <w:r>
      <w:rPr>
        <w:b/>
        <w:i/>
        <w:lang w:val="pt-BR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27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08"/>
        </w:tabs>
        <w:ind w:lef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8"/>
        </w:tabs>
        <w:ind w:left="144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eastAsia="Calibri" w:cs="Symbol"/>
      <w:sz w:val="22"/>
      <w:szCs w:val="22"/>
      <w:lang w:eastAsia="en-U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Paragrafoelenco">
    <w:name w:val="Paragrafo elenco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 w:eastAsia="Calibri" w:cs="Times New Roman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2018-06-05T17:16:00Z</dcterms:created>
  <dc:creator>A</dc:creator>
  <dc:description/>
  <cp:keywords/>
  <dc:language>en-US</dc:language>
  <cp:lastModifiedBy>utente</cp:lastModifiedBy>
  <cp:lastPrinted>2018-07-24T12:48:00Z</cp:lastPrinted>
  <dcterms:modified xsi:type="dcterms:W3CDTF">2022-01-07T17:22:00Z</dcterms:modified>
  <cp:revision>20</cp:revision>
  <dc:subject/>
  <dc:title>                                </dc:title>
</cp:coreProperties>
</file>