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15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15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2023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tabs>
          <w:tab w:val="clear" w:pos="708"/>
          <w:tab w:val="left" w:pos="3804" w:leader="none"/>
          <w:tab w:val="center" w:pos="5102" w:leader="none"/>
        </w:tabs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sz w:val="40"/>
          <w:szCs w:val="40"/>
          <w:lang w:eastAsia="it-IT"/>
        </w:rPr>
        <w:tab/>
      </w:r>
      <w:r>
        <w:rPr>
          <w:rFonts w:eastAsia="Times New Roman" w:cs="Times New Roman" w:ascii="Times New Roman" w:hAnsi="Times New Roman"/>
          <w:b/>
          <w:bCs/>
          <w:sz w:val="40"/>
          <w:szCs w:val="40"/>
          <w:u w:val="single"/>
          <w:lang w:eastAsia="it-IT"/>
        </w:rPr>
        <w:t>P</w:t>
      </w: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Il sistema finanziario e l’intermediazione del credito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Aspetti tecnici e normativi delle forme di finanziamento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Trasparenza bancaria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Valutazione del merito creditizio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antiriciclaggio ed antiusura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Antiriciclaggio, antiterrorismo e antiusura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servizi di pagamento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in tema di intermediazione assicurativa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Assicurazione rc in ambito professionale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reclami e dell’Arbitro bancario e finanziario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in materia di protezione dei dati personali (GDPR)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vigente in materia di tutela dei consumatori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Deontologia e correttezza professionale nei rapporti con la clientela</w:t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300</Words>
  <Characters>1716</Characters>
  <CharactersWithSpaces>2012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2023-05-11T10:26:00Z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