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15 ORE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19/14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15 ore in modalità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2026</w:t>
      </w:r>
    </w:p>
    <w:p>
      <w:pPr>
        <w:pStyle w:val="Normal"/>
        <w:spacing w:lineRule="auto" w:line="240" w:before="0" w:after="0"/>
        <w:ind w:left="1364"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  <w:r>
        <w:br w:type="page"/>
      </w:r>
    </w:p>
    <w:p>
      <w:pPr>
        <w:pStyle w:val="Normal"/>
        <w:tabs>
          <w:tab w:val="clear" w:pos="708"/>
          <w:tab w:val="left" w:pos="3804" w:leader="none"/>
          <w:tab w:val="center" w:pos="5102" w:leader="none"/>
        </w:tabs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sz w:val="40"/>
          <w:szCs w:val="40"/>
          <w:lang w:eastAsia="it-IT"/>
        </w:rPr>
        <w:tab/>
      </w:r>
      <w:r>
        <w:rPr>
          <w:rFonts w:eastAsia="Times New Roman" w:cs="Times New Roman" w:ascii="Times New Roman" w:hAnsi="Times New Roman"/>
          <w:b/>
          <w:bCs/>
          <w:sz w:val="40"/>
          <w:szCs w:val="40"/>
          <w:u w:val="single"/>
          <w:lang w:eastAsia="it-IT"/>
        </w:rPr>
        <w:t>P</w:t>
      </w: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81608865"/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</w:r>
      <w:bookmarkEnd w:id="0"/>
      <w:r>
        <w:rPr>
          <w:rFonts w:cs="Times New Roman" w:ascii="Times New Roman" w:hAnsi="Times New Roman"/>
          <w:sz w:val="24"/>
          <w:szCs w:val="24"/>
        </w:rPr>
        <w:t xml:space="preserve">Funzioni e rischi dell’attività bancaria 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 xml:space="preserve">Vigilanza 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Aspetti tecnici e normativi delle forme di finanziamento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Fintech e nuovi strumenti finanziari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Trasparenza bancaria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valutazione del merito creditizio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 xml:space="preserve">La disciplina antiriciclaggio 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   </w:t>
      </w:r>
      <w:r>
        <w:rPr>
          <w:rFonts w:cs="Times New Roman" w:ascii="Times New Roman" w:hAnsi="Times New Roman"/>
          <w:sz w:val="24"/>
          <w:szCs w:val="24"/>
        </w:rPr>
        <w:t>La disciplina antiusura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Servizi di pagamento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Intermediazione assicurativa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Arbitro bancario e finanziario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Privacy (GDPR)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disciplina della responsabilità amministrativa delle persone giuridiche, delle società e delle associazioni anche prive di personalità giuridica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Tutela dei consumatori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Organizzazione e funzionamento dei registri immobiliari e adempimenti relativi alla compravendita di immobili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Deontologia e correttezza professionale nei rapporti con la clientela</w:t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1bfc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271</Words>
  <Characters>1549</Characters>
  <CharactersWithSpaces>1817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2025-09-18T11:09:00Z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