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40"/>
          <w:u w:val="single"/>
          <w:lang w:val="en-US" w:eastAsia="en-US"/>
        </w:rPr>
      </w:pPr>
      <w:r>
        <w:rPr>
          <w:b/>
          <w:sz w:val="2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28"/>
          <w:lang w:val="en-US" w:eastAsia="en-US"/>
        </w:rPr>
      </w:pPr>
      <w:r>
        <w:rPr>
          <w:i/>
          <w:sz w:val="20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72"/>
          <w:szCs w:val="72"/>
          <w:lang w:val="en-US" w:eastAsia="en-US"/>
        </w:rPr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52"/>
          <w:szCs w:val="52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szCs w:val="52"/>
          <w:lang w:val="en-US" w:eastAsia="en-US"/>
        </w:rPr>
      </w:pPr>
      <w:r>
        <w:rPr>
          <w:i/>
          <w:sz w:val="20"/>
          <w:szCs w:val="52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autoSpaceDE w:val="false"/>
        <w:jc w:val="center"/>
        <w:rPr/>
      </w:pPr>
      <w:r>
        <w:rPr>
          <w:rFonts w:cs="Verdana" w:ascii="Verdana" w:hAnsi="Verdana"/>
          <w:b/>
          <w:bCs/>
          <w:sz w:val="40"/>
          <w:szCs w:val="40"/>
        </w:rPr>
        <w:t xml:space="preserve">CORSO DI AGGIORNAMENTO </w:t>
      </w:r>
    </w:p>
    <w:p>
      <w:pPr>
        <w:pStyle w:val="Normal"/>
        <w:autoSpaceDE w:val="false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PROFESSIONALE 30 ORE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sz w:val="40"/>
          <w:szCs w:val="40"/>
        </w:rPr>
      </w:pPr>
      <w:r>
        <w:rPr>
          <w:rFonts w:cs="Verdana" w:ascii="Verdana" w:hAnsi="Verdana"/>
          <w:sz w:val="40"/>
          <w:szCs w:val="40"/>
        </w:rPr>
        <w:t>ai sensi della Circolare n. 19/14 dell’OAM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lang w:val="en-US" w:eastAsia="en-US"/>
        </w:rPr>
      </w:pPr>
      <w:r>
        <w:rPr>
          <w:rFonts w:cs="Verdana" w:ascii="Verdana" w:hAnsi="Verdana"/>
          <w:sz w:val="22"/>
          <w:szCs w:val="40"/>
        </w:rPr>
        <w:t>(Aggiornata e modificata il 30 ottobre 2019)</w:t>
      </w:r>
    </w:p>
    <w:p>
      <w:pPr>
        <w:pStyle w:val="Normal"/>
        <w:ind w:left="-539" w:right="-57" w:hanging="0"/>
        <w:jc w:val="center"/>
        <w:rPr>
          <w:b/>
          <w:b/>
          <w:sz w:val="20"/>
          <w:szCs w:val="28"/>
          <w:lang w:val="en-US" w:eastAsia="en-US"/>
        </w:rPr>
      </w:pPr>
      <w:r>
        <w:rPr>
          <w:b/>
          <w:sz w:val="20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left="-539" w:right="-57" w:hanging="0"/>
        <w:jc w:val="center"/>
        <w:rPr>
          <w:sz w:val="20"/>
          <w:szCs w:val="28"/>
        </w:rPr>
      </w:pPr>
      <w:r>
        <w:rPr>
          <w:sz w:val="20"/>
          <w:szCs w:val="28"/>
        </w:rPr>
      </w:r>
    </w:p>
    <w:p>
      <w:pPr>
        <w:pStyle w:val="Normal"/>
        <w:ind w:right="425" w:hanging="0"/>
        <w:jc w:val="both"/>
        <w:rPr/>
      </w:pPr>
      <w:r>
        <w:rPr>
          <w:b/>
        </w:rPr>
        <w:t xml:space="preserve">Durata del corso: </w:t>
      </w:r>
      <w:r>
        <w:rPr/>
        <w:t>30 ore in modalità e-learning</w:t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right="425" w:hanging="0"/>
        <w:rPr>
          <w:sz w:val="16"/>
        </w:rPr>
      </w:pPr>
      <w:r>
        <w:rPr>
          <w:b/>
        </w:rPr>
        <w:t xml:space="preserve">Anno di riferimento: </w:t>
      </w:r>
      <w:r>
        <w:rPr/>
        <w:t>2020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284" w:right="425" w:hanging="0"/>
        <w:jc w:val="both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/>
      </w:pPr>
      <w:r>
        <w:rPr>
          <w:b/>
          <w:bCs/>
        </w:rPr>
        <w:t xml:space="preserve">Esito del test di verifica finale: </w:t>
      </w:r>
      <w:r>
        <w:rPr/>
        <w:t>Positivo</w:t>
      </w:r>
      <w:r>
        <w:rPr>
          <w:b/>
          <w:lang w:val="en-US" w:eastAsia="en-US"/>
        </w:rPr>
        <w:t xml:space="preserve"> </w:t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– Avv. M. Bello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right="425" w:hanging="0"/>
        <w:jc w:val="both"/>
        <w:rPr>
          <w:b/>
          <w:b/>
          <w:lang w:val="en-US" w:eastAsia="en-US"/>
        </w:rPr>
      </w:pPr>
      <w:r>
        <w:rPr>
          <w:b/>
          <w:lang w:val="en-US" w:eastAsia="en-US"/>
        </w:rPr>
        <w:t xml:space="preserve">Soggetto iscritto negli Elenchi </w:t>
      </w:r>
      <w:r>
        <w:rPr>
          <w:lang w:val="en-US" w:eastAsia="en-US"/>
        </w:rPr>
        <w:t>per conto del quale il partecipante al corso esercità l’attività (ove si tratti di un soggetto diverso dal partecipante):</w:t>
      </w:r>
      <w:r>
        <w:rPr>
          <w:b/>
          <w:lang w:val="en-US" w:eastAsia="en-US"/>
        </w:rPr>
        <w:t xml:space="preserve"> </w:t>
      </w:r>
      <w:r>
        <w:rPr>
          <w:lang w:val="en-US" w:eastAsia="en-US"/>
        </w:rPr>
        <w:t>____________________________________________</w:t>
      </w:r>
    </w:p>
    <w:p>
      <w:pPr>
        <w:pStyle w:val="Normal"/>
        <w:ind w:left="-539" w:right="425" w:firstLine="539"/>
        <w:rPr>
          <w:b/>
          <w:b/>
          <w:sz w:val="20"/>
          <w:lang w:val="en-US" w:eastAsia="en-US"/>
        </w:rPr>
      </w:pPr>
      <w:r>
        <w:rPr>
          <w:b/>
          <w:sz w:val="20"/>
          <w:lang w:val="en-US" w:eastAsia="en-US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425" w:firstLine="539"/>
        <w:rPr>
          <w:sz w:val="20"/>
        </w:rPr>
      </w:pPr>
      <w:r>
        <w:rPr>
          <w:sz w:val="20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4">
            <wp:simplePos x="0" y="0"/>
            <wp:positionH relativeFrom="column">
              <wp:posOffset>4161790</wp:posOffset>
            </wp:positionH>
            <wp:positionV relativeFrom="paragraph">
              <wp:posOffset>163195</wp:posOffset>
            </wp:positionV>
            <wp:extent cx="2665095" cy="636270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0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right="283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Programma del corso</w:t>
      </w:r>
    </w:p>
    <w:p>
      <w:pPr>
        <w:pStyle w:val="Normal"/>
        <w:spacing w:lineRule="auto" w:line="276"/>
        <w:ind w:right="283" w:hanging="0"/>
        <w:jc w:val="center"/>
        <w:rPr/>
      </w:pPr>
      <w:r>
        <w:rPr>
          <w:i/>
          <w:szCs w:val="26"/>
          <w:lang w:val="en-US" w:eastAsia="en-US"/>
        </w:rPr>
        <w:t xml:space="preserve">*Corso aggiornato alla Circolare n. 19/14 dell’OAM, </w:t>
      </w:r>
    </w:p>
    <w:p>
      <w:pPr>
        <w:pStyle w:val="Normal"/>
        <w:spacing w:lineRule="auto" w:line="276"/>
        <w:ind w:right="283" w:hanging="0"/>
        <w:jc w:val="center"/>
        <w:rPr>
          <w:i/>
          <w:i/>
          <w:szCs w:val="26"/>
          <w:lang w:val="en-US" w:eastAsia="en-US"/>
        </w:rPr>
      </w:pPr>
      <w:r>
        <w:rPr>
          <w:i/>
          <w:szCs w:val="26"/>
          <w:lang w:val="en-US" w:eastAsia="en-US"/>
        </w:rPr>
        <w:t xml:space="preserve">aggiornata e modificata il 30 ottobre 2019 </w:t>
      </w:r>
    </w:p>
    <w:p>
      <w:pPr>
        <w:pStyle w:val="Normal"/>
        <w:spacing w:lineRule="auto" w:line="276"/>
        <w:ind w:right="283" w:hanging="0"/>
        <w:rPr>
          <w:szCs w:val="28"/>
          <w:lang w:val="en-US" w:eastAsia="en-US"/>
        </w:rPr>
      </w:pPr>
      <w:r>
        <w:rPr>
          <w:sz w:val="28"/>
          <w:szCs w:val="28"/>
          <w:lang w:val="en-US" w:eastAsia="en-US"/>
        </w:rPr>
        <w:t xml:space="preserve"> </w:t>
      </w:r>
    </w:p>
    <w:p>
      <w:pPr>
        <w:pStyle w:val="Normal"/>
        <w:numPr>
          <w:ilvl w:val="0"/>
          <w:numId w:val="4"/>
        </w:numPr>
        <w:ind w:left="1418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Il sistema finanziario e l’intermediazione del credito</w:t>
      </w:r>
    </w:p>
    <w:p>
      <w:pPr>
        <w:pStyle w:val="Normal"/>
        <w:numPr>
          <w:ilvl w:val="0"/>
          <w:numId w:val="8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Il sistema finanziario, l’intermediazione del credito, intermediari bancari, finanziari e del credito, agenti in attività finanziaria e mediatori creditizi, sistema istituzionale preposto alla regolazione e al controllo del sistema finanziario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4"/>
        </w:numPr>
        <w:ind w:left="3270" w:hanging="2277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Aspetti tecnici e normativi delle forme di finanziamento</w:t>
      </w:r>
    </w:p>
    <w:p>
      <w:pPr>
        <w:pStyle w:val="Normal"/>
        <w:numPr>
          <w:ilvl w:val="0"/>
          <w:numId w:val="2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Mutui prestiti  personali, affidamenti finalizzati, leasing,  factoring,  cessione  del  quinto  dello  stipendio  e  della pensione, aperture di credito, carte di credito, deleghe di pagamento, concessione di garanzie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Trasparenza e correttezza nelle relazioni con la clientela</w:t>
      </w:r>
    </w:p>
    <w:p>
      <w:pPr>
        <w:pStyle w:val="Normal"/>
        <w:numPr>
          <w:ilvl w:val="0"/>
          <w:numId w:val="5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Provvedimento Banca d’Italia 18 Giugno 2019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Valutazione del merito creditizio</w:t>
      </w:r>
    </w:p>
    <w:p>
      <w:pPr>
        <w:pStyle w:val="Normal"/>
        <w:numPr>
          <w:ilvl w:val="0"/>
          <w:numId w:val="3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Merito creditizio, valutazione dell’operazione di finanziamento, sovraindebitamento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antiriciclaggio ed antiusura</w:t>
      </w:r>
    </w:p>
    <w:p>
      <w:pPr>
        <w:pStyle w:val="Normal"/>
        <w:numPr>
          <w:ilvl w:val="0"/>
          <w:numId w:val="3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Regolamento IVASS 44/2019, Provvedimento Banca d’Italia 26/03/2019, Provvedimento UIF 28 marzo 2019, disciplina antiusura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servizi di pagamento</w:t>
      </w:r>
    </w:p>
    <w:p>
      <w:pPr>
        <w:pStyle w:val="Normal"/>
        <w:numPr>
          <w:ilvl w:val="0"/>
          <w:numId w:val="1"/>
        </w:numPr>
        <w:ind w:left="1854" w:hanging="436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Mifid 2, PSD 2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tema di intermediazione assicurativa</w:t>
      </w:r>
    </w:p>
    <w:p>
      <w:pPr>
        <w:pStyle w:val="Normal"/>
        <w:numPr>
          <w:ilvl w:val="0"/>
          <w:numId w:val="2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Condizioni contrattuali dei prodotti di investimento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Disciplina dei reclami e dell’Arbitro bancario e finanziario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in materia di protezione dei dati personali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della responsabilità amministrativa delle persone giuridiche, delle società e delle associazioni anche prive di personalità giuridica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La disciplina vigente in materia di tutela dei consumatori</w:t>
      </w:r>
    </w:p>
    <w:p>
      <w:pPr>
        <w:pStyle w:val="Normal"/>
        <w:numPr>
          <w:ilvl w:val="0"/>
          <w:numId w:val="7"/>
        </w:numPr>
        <w:ind w:left="1843" w:hanging="425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Investor Protection, Product Governance, informativa alla clientela governance aziendale, consulenza su base indipendente, Market transparency, Best Execution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Organizzazione e funzionamento dei registri immobiliari e adempimenti relativi alla compravendita di immobili</w:t>
      </w:r>
    </w:p>
    <w:p>
      <w:pPr>
        <w:pStyle w:val="Normal"/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</w:r>
    </w:p>
    <w:p>
      <w:pPr>
        <w:pStyle w:val="Normal"/>
        <w:numPr>
          <w:ilvl w:val="0"/>
          <w:numId w:val="6"/>
        </w:numPr>
        <w:rPr>
          <w:rFonts w:eastAsia="Calibri"/>
          <w:sz w:val="22"/>
          <w:szCs w:val="22"/>
          <w:lang w:eastAsia="en-US"/>
        </w:rPr>
      </w:pPr>
      <w:r>
        <w:rPr>
          <w:rFonts w:eastAsia="Calibri"/>
          <w:sz w:val="22"/>
          <w:szCs w:val="22"/>
          <w:lang w:eastAsia="en-US"/>
        </w:rPr>
        <w:t>Deontologia e correttezza professionale nei rapporti con la clientela</w:t>
      </w:r>
    </w:p>
    <w:p>
      <w:pPr>
        <w:pStyle w:val="Normal"/>
        <w:rPr>
          <w:rFonts w:eastAsia="Calibri"/>
          <w:b/>
          <w:b/>
          <w:i/>
          <w:i/>
          <w:sz w:val="28"/>
          <w:szCs w:val="28"/>
          <w:lang w:val="en-US" w:eastAsia="en-US"/>
        </w:rPr>
      </w:pPr>
      <w:r>
        <w:rPr>
          <w:rFonts w:eastAsia="Calibri"/>
          <w:b/>
          <w:i/>
          <w:sz w:val="28"/>
          <w:szCs w:val="28"/>
          <w:lang w:val="en-US" w:eastAsia="en-US"/>
        </w:rPr>
      </w:r>
    </w:p>
    <w:sectPr>
      <w:headerReference w:type="default" r:id="rId3"/>
      <w:footerReference w:type="default" r:id="rId4"/>
      <w:type w:val="nextPage"/>
      <w:pgSz w:w="11906" w:h="16838"/>
      <w:pgMar w:left="1134" w:right="566" w:header="284" w:top="993" w:footer="269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pt-BR"/>
      </w:rPr>
    </w:pPr>
    <w:r>
      <w:rPr>
        <w:b/>
        <w:i/>
        <w:lang w:val="pt-BR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"/>
      <w:lvlJc w:val="left"/>
      <w:pPr>
        <w:tabs>
          <w:tab w:val="num" w:pos="708"/>
        </w:tabs>
        <w:ind w:left="1854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8"/>
        </w:tabs>
        <w:ind w:left="327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0"/>
        </w:tabs>
        <w:ind w:left="4404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>
      <w:rFonts w:ascii="Wingdings" w:hAnsi="Wingdings" w:cs="Wingdings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Times New Roman" w:hAnsi="Times New Roman" w:eastAsia="Calibri" w:cs="Times New Roman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9z0">
    <w:name w:val="WW8Num9z0"/>
    <w:qFormat/>
    <w:rPr>
      <w:rFonts w:ascii="Wingdings" w:hAnsi="Wingdings" w:cs="Wingdings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ListParagraph">
    <w:name w:val="List Paragraph"/>
    <w:basedOn w:val="Normal"/>
    <w:qFormat/>
    <w:pPr>
      <w:spacing w:lineRule="auto" w:line="276" w:before="0" w:after="200"/>
      <w:ind w:left="720" w:hanging="0"/>
      <w:contextualSpacing/>
    </w:pPr>
    <w:rPr>
      <w:rFonts w:ascii="Calibri" w:hAnsi="Calibri" w:eastAsia="Calibri" w:cs="Times New Roman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2018-06-05T17:16:00Z</dcterms:created>
  <dc:creator>A</dc:creator>
  <dc:description/>
  <cp:keywords/>
  <dc:language>en-US</dc:language>
  <cp:lastModifiedBy>Employee</cp:lastModifiedBy>
  <cp:lastPrinted>2018-07-24T12:48:00Z</cp:lastPrinted>
  <dcterms:modified xsi:type="dcterms:W3CDTF">2021-01-21T12:30:00Z</dcterms:modified>
  <cp:revision>18</cp:revision>
  <dc:subject/>
  <dc:title>                                </dc:title>
</cp:coreProperties>
</file>